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18048"/>
        </w:tabs>
        <w:ind w:left="0" w:leftChars="0" w:firstLine="0" w:firstLineChars="0"/>
        <w:rPr>
          <w:rFonts w:hint="default" w:ascii="Times New Roman" w:hAnsi="Times New Roman" w:cs="宋体"/>
          <w:color w:val="auto"/>
          <w:sz w:val="28"/>
          <w:szCs w:val="21"/>
          <w:lang w:val="en-US" w:eastAsia="zh-CN"/>
        </w:rPr>
      </w:pPr>
      <w:r>
        <w:rPr>
          <w:rFonts w:hint="eastAsia" w:ascii="Times New Roman" w:hAnsi="Times New Roman" w:cs="宋体"/>
          <w:color w:val="auto"/>
          <w:sz w:val="28"/>
          <w:szCs w:val="21"/>
          <w:lang w:val="en-US" w:eastAsia="zh-CN"/>
        </w:rPr>
        <w:t xml:space="preserve"> </w:t>
      </w:r>
    </w:p>
    <w:p>
      <w:pPr>
        <w:ind w:firstLine="0" w:firstLineChars="0"/>
        <w:jc w:val="center"/>
        <w:rPr>
          <w:rFonts w:hint="eastAsia" w:ascii="黑体" w:hAnsi="黑体" w:eastAsia="黑体" w:cs="黑体"/>
          <w:b/>
          <w:bCs/>
          <w:color w:val="auto"/>
          <w:sz w:val="48"/>
          <w:szCs w:val="48"/>
          <w:lang w:eastAsia="zh-CN"/>
        </w:rPr>
      </w:pPr>
    </w:p>
    <w:p>
      <w:pPr>
        <w:ind w:firstLine="0" w:firstLineChars="0"/>
        <w:jc w:val="center"/>
        <w:rPr>
          <w:rFonts w:hint="eastAsia" w:ascii="黑体" w:hAnsi="黑体" w:eastAsia="黑体" w:cs="黑体"/>
          <w:b/>
          <w:bCs/>
          <w:color w:val="auto"/>
          <w:sz w:val="48"/>
          <w:szCs w:val="48"/>
          <w:lang w:eastAsia="zh-CN"/>
        </w:rPr>
      </w:pPr>
      <w:r>
        <w:rPr>
          <w:rFonts w:hint="eastAsia" w:ascii="黑体" w:hAnsi="黑体" w:eastAsia="黑体" w:cs="黑体"/>
          <w:b/>
          <w:bCs/>
          <w:color w:val="auto"/>
          <w:sz w:val="48"/>
          <w:szCs w:val="48"/>
          <w:lang w:eastAsia="zh-CN"/>
        </w:rPr>
        <w:t>从化区江埔街Y523片区雨污分流工程</w:t>
      </w:r>
    </w:p>
    <w:p>
      <w:pPr>
        <w:ind w:firstLine="0" w:firstLineChars="0"/>
        <w:jc w:val="center"/>
        <w:rPr>
          <w:rFonts w:hint="eastAsia"/>
          <w:color w:val="auto"/>
        </w:rPr>
      </w:pPr>
    </w:p>
    <w:p>
      <w:pPr>
        <w:ind w:firstLine="0" w:firstLineChars="0"/>
        <w:jc w:val="center"/>
        <w:rPr>
          <w:rFonts w:hint="eastAsia"/>
          <w:color w:val="auto"/>
        </w:rPr>
      </w:pPr>
    </w:p>
    <w:p>
      <w:pPr>
        <w:pStyle w:val="30"/>
        <w:rPr>
          <w:rFonts w:hint="eastAsia"/>
          <w:color w:val="auto"/>
        </w:rPr>
      </w:pPr>
    </w:p>
    <w:p>
      <w:pPr>
        <w:ind w:firstLine="0" w:firstLineChars="0"/>
        <w:jc w:val="center"/>
        <w:rPr>
          <w:rFonts w:hint="eastAsia"/>
          <w:color w:val="auto"/>
        </w:rPr>
      </w:pPr>
    </w:p>
    <w:p>
      <w:pPr>
        <w:pStyle w:val="30"/>
        <w:rPr>
          <w:rFonts w:hint="eastAsia"/>
        </w:rPr>
      </w:pPr>
    </w:p>
    <w:p>
      <w:pPr>
        <w:ind w:firstLine="0" w:firstLineChars="0"/>
        <w:jc w:val="center"/>
        <w:rPr>
          <w:rFonts w:hint="eastAsia" w:ascii="黑体" w:hAnsi="黑体" w:eastAsia="黑体" w:cs="黑体"/>
          <w:b/>
          <w:bCs/>
          <w:color w:val="auto"/>
          <w:sz w:val="52"/>
          <w:szCs w:val="52"/>
          <w:highlight w:val="none"/>
          <w:lang w:val="en-US" w:eastAsia="zh-CN"/>
        </w:rPr>
      </w:pPr>
      <w:r>
        <w:rPr>
          <w:rFonts w:hint="eastAsia" w:ascii="黑体" w:hAnsi="黑体" w:eastAsia="黑体" w:cs="黑体"/>
          <w:b/>
          <w:bCs/>
          <w:color w:val="auto"/>
          <w:sz w:val="52"/>
          <w:szCs w:val="52"/>
          <w:highlight w:val="none"/>
          <w:lang w:val="en-US" w:eastAsia="zh-CN"/>
        </w:rPr>
        <w:t>初步设计说明</w:t>
      </w:r>
    </w:p>
    <w:p>
      <w:pPr>
        <w:ind w:left="0" w:leftChars="0" w:firstLine="0" w:firstLineChars="0"/>
        <w:jc w:val="center"/>
        <w:rPr>
          <w:rFonts w:hint="eastAsia" w:ascii="黑体" w:hAnsi="黑体" w:eastAsia="黑体" w:cs="黑体"/>
          <w:color w:val="auto"/>
          <w:sz w:val="44"/>
          <w:szCs w:val="44"/>
          <w:highlight w:val="none"/>
          <w:lang w:val="en-US" w:eastAsia="zh-CN"/>
        </w:rPr>
      </w:pPr>
      <w:r>
        <w:rPr>
          <w:rFonts w:hint="eastAsia" w:ascii="黑体" w:hAnsi="黑体" w:eastAsia="黑体" w:cs="黑体"/>
          <w:color w:val="auto"/>
          <w:sz w:val="44"/>
          <w:szCs w:val="44"/>
          <w:highlight w:val="none"/>
          <w:lang w:val="en-US" w:eastAsia="zh-CN"/>
        </w:rPr>
        <w:t>工程编号：23-039-1-DS</w:t>
      </w:r>
    </w:p>
    <w:p>
      <w:pPr>
        <w:ind w:firstLine="0" w:firstLineChars="0"/>
        <w:jc w:val="center"/>
        <w:rPr>
          <w:rFonts w:hint="eastAsia" w:ascii="黑体" w:hAnsi="黑体" w:eastAsia="黑体" w:cs="黑体"/>
          <w:b/>
          <w:bCs/>
          <w:color w:val="auto"/>
          <w:sz w:val="52"/>
          <w:szCs w:val="52"/>
          <w:highlight w:val="none"/>
          <w:lang w:val="en-US" w:eastAsia="zh-CN"/>
        </w:rPr>
      </w:pPr>
    </w:p>
    <w:p>
      <w:pPr>
        <w:ind w:firstLine="0" w:firstLineChars="0"/>
        <w:jc w:val="center"/>
        <w:rPr>
          <w:rFonts w:hint="default" w:ascii="黑体" w:hAnsi="黑体" w:eastAsia="黑体" w:cs="黑体"/>
          <w:b/>
          <w:bCs/>
          <w:color w:val="auto"/>
          <w:sz w:val="52"/>
          <w:szCs w:val="52"/>
          <w:highlight w:val="none"/>
          <w:lang w:val="en-US" w:eastAsia="zh-CN"/>
        </w:rPr>
      </w:pPr>
      <w:r>
        <w:rPr>
          <w:rFonts w:hint="eastAsia" w:ascii="黑体" w:hAnsi="黑体" w:eastAsia="黑体" w:cs="黑体"/>
          <w:b/>
          <w:bCs/>
          <w:color w:val="auto"/>
          <w:sz w:val="52"/>
          <w:szCs w:val="52"/>
          <w:highlight w:val="none"/>
          <w:lang w:val="en-US" w:eastAsia="zh-CN"/>
        </w:rPr>
        <w:t>第一册 共一册</w:t>
      </w:r>
    </w:p>
    <w:p>
      <w:pPr>
        <w:pStyle w:val="30"/>
        <w:rPr>
          <w:rFonts w:hint="eastAsia"/>
          <w:lang w:eastAsia="zh-CN"/>
        </w:rPr>
      </w:pPr>
    </w:p>
    <w:p>
      <w:pPr>
        <w:ind w:firstLine="0" w:firstLineChars="0"/>
        <w:jc w:val="center"/>
        <w:rPr>
          <w:rFonts w:hint="eastAsia"/>
          <w:color w:val="auto"/>
        </w:rPr>
      </w:pPr>
    </w:p>
    <w:p>
      <w:pPr>
        <w:ind w:firstLine="0" w:firstLineChars="0"/>
        <w:jc w:val="center"/>
        <w:rPr>
          <w:rFonts w:hint="eastAsia"/>
          <w:color w:val="auto"/>
        </w:rPr>
      </w:pPr>
    </w:p>
    <w:p>
      <w:pPr>
        <w:pStyle w:val="30"/>
        <w:rPr>
          <w:rFonts w:hint="eastAsia"/>
        </w:rPr>
      </w:pPr>
      <w:bookmarkStart w:id="279" w:name="_GoBack"/>
      <w:bookmarkEnd w:id="279"/>
    </w:p>
    <w:p>
      <w:pPr>
        <w:ind w:firstLine="0" w:firstLineChars="0"/>
        <w:jc w:val="center"/>
        <w:rPr>
          <w:rFonts w:hint="eastAsia"/>
          <w:color w:val="auto"/>
        </w:rPr>
      </w:pPr>
    </w:p>
    <w:p>
      <w:pPr>
        <w:ind w:firstLine="0" w:firstLineChars="0"/>
        <w:jc w:val="center"/>
        <w:rPr>
          <w:rFonts w:hint="eastAsia"/>
          <w:color w:val="auto"/>
        </w:rPr>
      </w:pPr>
    </w:p>
    <w:p>
      <w:pPr>
        <w:ind w:firstLine="0" w:firstLineChars="0"/>
        <w:jc w:val="center"/>
        <w:rPr>
          <w:rFonts w:hint="eastAsia"/>
          <w:color w:val="auto"/>
        </w:rPr>
      </w:pPr>
    </w:p>
    <w:p>
      <w:pPr>
        <w:ind w:left="0" w:leftChars="0" w:firstLine="0" w:firstLineChars="0"/>
        <w:jc w:val="center"/>
        <w:outlineLvl w:val="9"/>
        <w:rPr>
          <w:rFonts w:hint="eastAsia" w:ascii="宋体" w:hAnsi="MS Sans Serif" w:eastAsia="宋体"/>
          <w:color w:val="auto"/>
          <w:kern w:val="0"/>
          <w:sz w:val="28"/>
          <w:szCs w:val="32"/>
          <w:highlight w:val="none"/>
          <w:lang w:eastAsia="zh-CN"/>
        </w:rPr>
      </w:pPr>
      <w:r>
        <w:rPr>
          <w:rFonts w:hint="eastAsia" w:ascii="宋体" w:hAnsi="MS Sans Serif" w:eastAsia="宋体"/>
          <w:color w:val="auto"/>
          <w:kern w:val="0"/>
          <w:sz w:val="28"/>
          <w:szCs w:val="32"/>
          <w:highlight w:val="none"/>
          <w:lang w:eastAsia="zh-CN"/>
        </w:rPr>
        <w:drawing>
          <wp:inline distT="0" distB="0" distL="114300" distR="114300">
            <wp:extent cx="4300220" cy="697230"/>
            <wp:effectExtent l="0" t="0" r="5080" b="7620"/>
            <wp:docPr id="127" name="图片 4" descr="广州市城建规划设计院有限公司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4" descr="广州市城建规划设计院有限公司6"/>
                    <pic:cNvPicPr>
                      <a:picLocks noChangeAspect="1"/>
                    </pic:cNvPicPr>
                  </pic:nvPicPr>
                  <pic:blipFill>
                    <a:blip r:embed="rId11"/>
                    <a:srcRect t="39967" b="39771"/>
                    <a:stretch>
                      <a:fillRect/>
                    </a:stretch>
                  </pic:blipFill>
                  <pic:spPr>
                    <a:xfrm>
                      <a:off x="0" y="0"/>
                      <a:ext cx="4300220" cy="697230"/>
                    </a:xfrm>
                    <a:prstGeom prst="rect">
                      <a:avLst/>
                    </a:prstGeom>
                    <a:noFill/>
                    <a:ln>
                      <a:noFill/>
                    </a:ln>
                  </pic:spPr>
                </pic:pic>
              </a:graphicData>
            </a:graphic>
          </wp:inline>
        </w:drawing>
      </w:r>
    </w:p>
    <w:p>
      <w:pPr>
        <w:ind w:left="0" w:leftChars="0" w:firstLine="0" w:firstLineChars="0"/>
        <w:jc w:val="center"/>
        <w:outlineLvl w:val="9"/>
        <w:rPr>
          <w:rFonts w:hint="eastAsia" w:ascii="黑体" w:hAnsi="黑体" w:eastAsia="黑体" w:cs="黑体"/>
          <w:color w:val="auto"/>
          <w:sz w:val="36"/>
          <w:szCs w:val="36"/>
          <w:highlight w:val="none"/>
          <w:lang w:val="en-US" w:eastAsia="zh-CN"/>
        </w:rPr>
      </w:pPr>
      <w:r>
        <w:rPr>
          <w:rFonts w:hint="eastAsia" w:ascii="黑体" w:hAnsi="黑体" w:eastAsia="黑体" w:cs="黑体"/>
          <w:color w:val="auto"/>
          <w:sz w:val="36"/>
          <w:szCs w:val="36"/>
          <w:highlight w:val="none"/>
          <w:lang w:val="en-US" w:eastAsia="zh-CN"/>
        </w:rPr>
        <w:t>2023年07月</w:t>
      </w:r>
    </w:p>
    <w:p>
      <w:pPr>
        <w:pStyle w:val="13"/>
        <w:keepNext w:val="0"/>
        <w:keepLines w:val="0"/>
        <w:pageBreakBefore w:val="0"/>
        <w:kinsoku/>
        <w:wordWrap/>
        <w:overflowPunct/>
        <w:topLinePunct w:val="0"/>
        <w:bidi w:val="0"/>
        <w:ind w:firstLine="0" w:firstLineChars="0"/>
        <w:textAlignment w:val="auto"/>
        <w:rPr>
          <w:rFonts w:hint="eastAsia" w:ascii="黑体" w:hAnsi="黑体" w:eastAsia="黑体" w:cs="黑体"/>
          <w:color w:val="auto"/>
          <w:sz w:val="44"/>
          <w:szCs w:val="44"/>
        </w:rPr>
      </w:pPr>
    </w:p>
    <w:p>
      <w:pPr>
        <w:keepNext w:val="0"/>
        <w:keepLines w:val="0"/>
        <w:pageBreakBefore w:val="0"/>
        <w:kinsoku/>
        <w:wordWrap/>
        <w:overflowPunct/>
        <w:topLinePunct w:val="0"/>
        <w:bidi w:val="0"/>
        <w:ind w:firstLine="0" w:firstLineChars="0"/>
        <w:textAlignment w:val="auto"/>
        <w:rPr>
          <w:rFonts w:hint="eastAsia"/>
        </w:rPr>
      </w:pPr>
    </w:p>
    <w:p>
      <w:pPr>
        <w:keepNext w:val="0"/>
        <w:keepLines w:val="0"/>
        <w:pageBreakBefore w:val="0"/>
        <w:kinsoku/>
        <w:wordWrap/>
        <w:overflowPunct/>
        <w:topLinePunct w:val="0"/>
        <w:bidi w:val="0"/>
        <w:ind w:firstLine="0" w:firstLineChars="0"/>
        <w:jc w:val="center"/>
        <w:textAlignment w:val="auto"/>
        <w:rPr>
          <w:rFonts w:hint="eastAsia" w:ascii="黑体" w:hAnsi="黑体" w:eastAsia="黑体" w:cs="黑体"/>
          <w:b/>
          <w:bCs/>
          <w:color w:val="auto"/>
          <w:sz w:val="48"/>
          <w:szCs w:val="48"/>
          <w:lang w:eastAsia="zh-CN"/>
        </w:rPr>
      </w:pPr>
      <w:r>
        <w:rPr>
          <w:rFonts w:hint="eastAsia" w:ascii="黑体" w:hAnsi="黑体" w:eastAsia="黑体" w:cs="黑体"/>
          <w:b/>
          <w:bCs/>
          <w:color w:val="auto"/>
          <w:sz w:val="48"/>
          <w:szCs w:val="48"/>
          <w:lang w:eastAsia="zh-CN"/>
        </w:rPr>
        <w:t>从化区江埔街Y523片区雨污分流工程</w:t>
      </w:r>
    </w:p>
    <w:p>
      <w:pPr>
        <w:ind w:firstLine="0" w:firstLineChars="0"/>
        <w:jc w:val="center"/>
        <w:rPr>
          <w:rFonts w:hint="eastAsia"/>
          <w:color w:val="auto"/>
          <w:lang w:eastAsia="zh-CN"/>
        </w:rPr>
      </w:pPr>
    </w:p>
    <w:p>
      <w:pPr>
        <w:ind w:firstLine="0" w:firstLineChars="0"/>
        <w:jc w:val="center"/>
        <w:rPr>
          <w:rFonts w:hint="eastAsia"/>
          <w:color w:val="auto"/>
          <w:lang w:eastAsia="zh-CN"/>
        </w:rPr>
      </w:pPr>
    </w:p>
    <w:p>
      <w:pPr>
        <w:keepNext w:val="0"/>
        <w:keepLines w:val="0"/>
        <w:pageBreakBefore w:val="0"/>
        <w:kinsoku/>
        <w:wordWrap/>
        <w:overflowPunct/>
        <w:topLinePunct w:val="0"/>
        <w:bidi w:val="0"/>
        <w:ind w:firstLine="0" w:firstLineChars="0"/>
        <w:jc w:val="center"/>
        <w:textAlignment w:val="auto"/>
        <w:rPr>
          <w:rFonts w:hint="eastAsia" w:ascii="黑体" w:hAnsi="黑体" w:eastAsia="黑体" w:cs="黑体"/>
          <w:b/>
          <w:bCs/>
          <w:color w:val="auto"/>
          <w:sz w:val="52"/>
          <w:szCs w:val="52"/>
          <w:highlight w:val="none"/>
          <w:lang w:val="en-US" w:eastAsia="zh-CN"/>
        </w:rPr>
      </w:pPr>
      <w:r>
        <w:rPr>
          <w:rFonts w:hint="eastAsia" w:ascii="黑体" w:hAnsi="黑体" w:eastAsia="黑体" w:cs="黑体"/>
          <w:b/>
          <w:bCs/>
          <w:color w:val="auto"/>
          <w:sz w:val="52"/>
          <w:szCs w:val="52"/>
          <w:highlight w:val="none"/>
          <w:lang w:val="en-US" w:eastAsia="zh-CN"/>
        </w:rPr>
        <w:t>初步设计说明</w:t>
      </w:r>
    </w:p>
    <w:tbl>
      <w:tblPr>
        <w:tblStyle w:val="32"/>
        <w:tblpPr w:leftFromText="180" w:rightFromText="180" w:vertAnchor="text" w:horzAnchor="page" w:tblpXSpec="center" w:tblpY="495"/>
        <w:tblOverlap w:val="never"/>
        <w:tblW w:w="4289"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510"/>
        <w:gridCol w:w="177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8" w:hRule="atLeast"/>
          <w:jc w:val="center"/>
        </w:trPr>
        <w:tc>
          <w:tcPr>
            <w:tcW w:w="2510" w:type="dxa"/>
            <w:vAlign w:val="center"/>
          </w:tcPr>
          <w:p>
            <w:pPr>
              <w:keepNext w:val="0"/>
              <w:keepLines w:val="0"/>
              <w:pageBreakBefore w:val="0"/>
              <w:widowControl w:val="0"/>
              <w:kinsoku/>
              <w:wordWrap/>
              <w:overflowPunct/>
              <w:topLinePunct w:val="0"/>
              <w:autoSpaceDE w:val="0"/>
              <w:autoSpaceDN w:val="0"/>
              <w:bidi w:val="0"/>
              <w:adjustRightInd w:val="0"/>
              <w:snapToGrid w:val="0"/>
              <w:spacing w:line="480" w:lineRule="auto"/>
              <w:ind w:firstLine="0" w:firstLineChars="0"/>
              <w:jc w:val="distribute"/>
              <w:textAlignment w:val="auto"/>
              <w:rPr>
                <w:rFonts w:ascii="宋体" w:hAnsi="宋体"/>
                <w:color w:val="auto"/>
                <w:kern w:val="0"/>
                <w:sz w:val="30"/>
                <w:szCs w:val="30"/>
                <w:highlight w:val="none"/>
              </w:rPr>
            </w:pPr>
            <w:r>
              <w:rPr>
                <w:rFonts w:hint="eastAsia" w:ascii="宋体" w:hAnsi="宋体"/>
                <w:color w:val="auto"/>
                <w:kern w:val="0"/>
                <w:sz w:val="30"/>
                <w:szCs w:val="30"/>
                <w:highlight w:val="none"/>
              </w:rPr>
              <w:t>分管领导：</w:t>
            </w:r>
          </w:p>
        </w:tc>
        <w:tc>
          <w:tcPr>
            <w:tcW w:w="1779" w:type="dxa"/>
            <w:vAlign w:val="center"/>
          </w:tcPr>
          <w:p>
            <w:pPr>
              <w:keepNext w:val="0"/>
              <w:keepLines w:val="0"/>
              <w:pageBreakBefore w:val="0"/>
              <w:widowControl w:val="0"/>
              <w:kinsoku/>
              <w:wordWrap/>
              <w:overflowPunct/>
              <w:topLinePunct w:val="0"/>
              <w:autoSpaceDE w:val="0"/>
              <w:autoSpaceDN w:val="0"/>
              <w:bidi w:val="0"/>
              <w:adjustRightInd w:val="0"/>
              <w:snapToGrid w:val="0"/>
              <w:spacing w:line="480" w:lineRule="auto"/>
              <w:ind w:firstLine="0" w:firstLineChars="0"/>
              <w:textAlignment w:val="auto"/>
              <w:rPr>
                <w:rFonts w:ascii="宋体" w:hAnsi="宋体"/>
                <w:color w:val="auto"/>
                <w:kern w:val="0"/>
                <w:sz w:val="30"/>
                <w:szCs w:val="30"/>
                <w:highlight w:val="none"/>
              </w:rPr>
            </w:pPr>
            <w:r>
              <w:rPr>
                <w:rFonts w:hint="eastAsia" w:ascii="宋体" w:hAnsi="宋体"/>
                <w:color w:val="auto"/>
                <w:kern w:val="0"/>
                <w:sz w:val="30"/>
                <w:szCs w:val="30"/>
                <w:highlight w:val="none"/>
                <w:u w:val="single"/>
                <w:lang w:eastAsia="zh-CN"/>
              </w:rPr>
              <w:t>祝雄涛</w:t>
            </w:r>
            <w:r>
              <w:rPr>
                <w:rFonts w:hint="eastAsia" w:ascii="宋体" w:hAnsi="宋体"/>
                <w:color w:val="auto"/>
                <w:kern w:val="0"/>
                <w:sz w:val="30"/>
                <w:szCs w:val="30"/>
                <w:highlight w:val="none"/>
                <w:u w:val="single"/>
                <w:lang w:val="en-US" w:eastAsia="zh-CN"/>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8" w:hRule="atLeast"/>
          <w:jc w:val="center"/>
        </w:trPr>
        <w:tc>
          <w:tcPr>
            <w:tcW w:w="2510" w:type="dxa"/>
            <w:vAlign w:val="center"/>
          </w:tcPr>
          <w:p>
            <w:pPr>
              <w:keepNext w:val="0"/>
              <w:keepLines w:val="0"/>
              <w:pageBreakBefore w:val="0"/>
              <w:widowControl w:val="0"/>
              <w:kinsoku/>
              <w:wordWrap/>
              <w:overflowPunct/>
              <w:topLinePunct w:val="0"/>
              <w:autoSpaceDE w:val="0"/>
              <w:autoSpaceDN w:val="0"/>
              <w:bidi w:val="0"/>
              <w:adjustRightInd w:val="0"/>
              <w:snapToGrid w:val="0"/>
              <w:spacing w:line="480" w:lineRule="auto"/>
              <w:ind w:firstLine="0" w:firstLineChars="0"/>
              <w:jc w:val="distribute"/>
              <w:textAlignment w:val="auto"/>
              <w:rPr>
                <w:rFonts w:ascii="宋体" w:hAnsi="宋体"/>
                <w:color w:val="auto"/>
                <w:kern w:val="0"/>
                <w:sz w:val="30"/>
                <w:szCs w:val="30"/>
                <w:highlight w:val="none"/>
              </w:rPr>
            </w:pPr>
            <w:r>
              <w:rPr>
                <w:rFonts w:hint="eastAsia" w:ascii="宋体" w:hAnsi="宋体"/>
                <w:color w:val="auto"/>
                <w:kern w:val="0"/>
                <w:sz w:val="30"/>
                <w:szCs w:val="30"/>
                <w:highlight w:val="none"/>
              </w:rPr>
              <w:t>总工程师：</w:t>
            </w:r>
          </w:p>
        </w:tc>
        <w:tc>
          <w:tcPr>
            <w:tcW w:w="1779" w:type="dxa"/>
            <w:vAlign w:val="center"/>
          </w:tcPr>
          <w:p>
            <w:pPr>
              <w:keepNext w:val="0"/>
              <w:keepLines w:val="0"/>
              <w:pageBreakBefore w:val="0"/>
              <w:widowControl w:val="0"/>
              <w:kinsoku/>
              <w:wordWrap/>
              <w:overflowPunct/>
              <w:topLinePunct w:val="0"/>
              <w:autoSpaceDE w:val="0"/>
              <w:autoSpaceDN w:val="0"/>
              <w:bidi w:val="0"/>
              <w:adjustRightInd w:val="0"/>
              <w:snapToGrid w:val="0"/>
              <w:spacing w:line="480" w:lineRule="auto"/>
              <w:ind w:firstLine="0" w:firstLineChars="0"/>
              <w:textAlignment w:val="auto"/>
              <w:rPr>
                <w:rFonts w:ascii="宋体" w:hAnsi="宋体"/>
                <w:color w:val="auto"/>
                <w:kern w:val="0"/>
                <w:sz w:val="30"/>
                <w:szCs w:val="30"/>
                <w:highlight w:val="none"/>
              </w:rPr>
            </w:pPr>
            <w:r>
              <w:rPr>
                <w:rFonts w:hint="eastAsia" w:ascii="宋体" w:hAnsi="宋体"/>
                <w:color w:val="auto"/>
                <w:kern w:val="0"/>
                <w:sz w:val="30"/>
                <w:szCs w:val="30"/>
                <w:highlight w:val="none"/>
                <w:u w:val="single"/>
                <w:lang w:eastAsia="zh-CN"/>
              </w:rPr>
              <w:t>马智珊</w:t>
            </w:r>
            <w:r>
              <w:rPr>
                <w:rFonts w:hint="eastAsia" w:ascii="宋体" w:hAnsi="宋体"/>
                <w:color w:val="auto"/>
                <w:kern w:val="0"/>
                <w:sz w:val="30"/>
                <w:szCs w:val="30"/>
                <w:highlight w:val="none"/>
                <w:u w:val="single"/>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8" w:hRule="atLeast"/>
          <w:jc w:val="center"/>
        </w:trPr>
        <w:tc>
          <w:tcPr>
            <w:tcW w:w="2510" w:type="dxa"/>
            <w:vAlign w:val="center"/>
          </w:tcPr>
          <w:p>
            <w:pPr>
              <w:keepNext w:val="0"/>
              <w:keepLines w:val="0"/>
              <w:pageBreakBefore w:val="0"/>
              <w:widowControl w:val="0"/>
              <w:kinsoku/>
              <w:wordWrap/>
              <w:overflowPunct/>
              <w:topLinePunct w:val="0"/>
              <w:autoSpaceDE w:val="0"/>
              <w:autoSpaceDN w:val="0"/>
              <w:bidi w:val="0"/>
              <w:adjustRightInd w:val="0"/>
              <w:snapToGrid w:val="0"/>
              <w:spacing w:line="480" w:lineRule="auto"/>
              <w:ind w:firstLine="0" w:firstLineChars="0"/>
              <w:jc w:val="distribute"/>
              <w:textAlignment w:val="auto"/>
              <w:rPr>
                <w:rFonts w:ascii="宋体" w:hAnsi="宋体"/>
                <w:color w:val="auto"/>
                <w:kern w:val="0"/>
                <w:sz w:val="30"/>
                <w:szCs w:val="30"/>
                <w:highlight w:val="none"/>
              </w:rPr>
            </w:pPr>
            <w:r>
              <w:rPr>
                <w:rFonts w:hint="eastAsia" w:ascii="宋体" w:hAnsi="宋体"/>
                <w:color w:val="auto"/>
                <w:kern w:val="0"/>
                <w:sz w:val="30"/>
                <w:szCs w:val="30"/>
                <w:highlight w:val="none"/>
              </w:rPr>
              <w:t>部门负责人：</w:t>
            </w:r>
          </w:p>
        </w:tc>
        <w:tc>
          <w:tcPr>
            <w:tcW w:w="1779" w:type="dxa"/>
            <w:vAlign w:val="center"/>
          </w:tcPr>
          <w:p>
            <w:pPr>
              <w:keepNext w:val="0"/>
              <w:keepLines w:val="0"/>
              <w:pageBreakBefore w:val="0"/>
              <w:widowControl w:val="0"/>
              <w:kinsoku/>
              <w:wordWrap/>
              <w:overflowPunct/>
              <w:topLinePunct w:val="0"/>
              <w:autoSpaceDE w:val="0"/>
              <w:autoSpaceDN w:val="0"/>
              <w:bidi w:val="0"/>
              <w:adjustRightInd w:val="0"/>
              <w:snapToGrid w:val="0"/>
              <w:spacing w:line="480" w:lineRule="auto"/>
              <w:ind w:firstLine="0" w:firstLineChars="0"/>
              <w:textAlignment w:val="auto"/>
              <w:rPr>
                <w:rFonts w:ascii="宋体" w:hAnsi="宋体"/>
                <w:color w:val="auto"/>
                <w:kern w:val="0"/>
                <w:sz w:val="30"/>
                <w:szCs w:val="30"/>
                <w:highlight w:val="none"/>
              </w:rPr>
            </w:pPr>
            <w:r>
              <w:rPr>
                <w:rFonts w:hint="eastAsia" w:ascii="宋体" w:hAnsi="宋体"/>
                <w:color w:val="auto"/>
                <w:kern w:val="0"/>
                <w:sz w:val="30"/>
                <w:szCs w:val="30"/>
                <w:highlight w:val="none"/>
                <w:u w:val="single"/>
                <w:lang w:eastAsia="zh-CN"/>
              </w:rPr>
              <w:t>林颖庭</w:t>
            </w:r>
            <w:r>
              <w:rPr>
                <w:rFonts w:hint="eastAsia" w:ascii="宋体" w:hAnsi="宋体"/>
                <w:color w:val="auto"/>
                <w:kern w:val="0"/>
                <w:sz w:val="30"/>
                <w:szCs w:val="30"/>
                <w:highlight w:val="none"/>
                <w:u w:val="single"/>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8" w:hRule="atLeast"/>
          <w:jc w:val="center"/>
        </w:trPr>
        <w:tc>
          <w:tcPr>
            <w:tcW w:w="2510" w:type="dxa"/>
            <w:vAlign w:val="center"/>
          </w:tcPr>
          <w:p>
            <w:pPr>
              <w:keepNext w:val="0"/>
              <w:keepLines w:val="0"/>
              <w:pageBreakBefore w:val="0"/>
              <w:widowControl w:val="0"/>
              <w:kinsoku/>
              <w:wordWrap/>
              <w:overflowPunct/>
              <w:topLinePunct w:val="0"/>
              <w:autoSpaceDE w:val="0"/>
              <w:autoSpaceDN w:val="0"/>
              <w:bidi w:val="0"/>
              <w:adjustRightInd w:val="0"/>
              <w:snapToGrid w:val="0"/>
              <w:spacing w:line="480" w:lineRule="auto"/>
              <w:ind w:firstLine="0" w:firstLineChars="0"/>
              <w:jc w:val="distribute"/>
              <w:textAlignment w:val="auto"/>
              <w:rPr>
                <w:rFonts w:hint="eastAsia" w:ascii="宋体" w:hAnsi="宋体" w:eastAsia="宋体"/>
                <w:color w:val="auto"/>
                <w:kern w:val="0"/>
                <w:sz w:val="30"/>
                <w:szCs w:val="30"/>
                <w:highlight w:val="none"/>
                <w:lang w:val="en-US" w:eastAsia="zh-CN"/>
              </w:rPr>
            </w:pPr>
            <w:r>
              <w:rPr>
                <w:rFonts w:hint="eastAsia" w:ascii="宋体" w:hAnsi="宋体"/>
                <w:color w:val="auto"/>
                <w:kern w:val="0"/>
                <w:sz w:val="30"/>
                <w:szCs w:val="30"/>
                <w:highlight w:val="none"/>
                <w:lang w:val="en-US" w:eastAsia="zh-CN"/>
              </w:rPr>
              <w:t>审  定：</w:t>
            </w:r>
          </w:p>
        </w:tc>
        <w:tc>
          <w:tcPr>
            <w:tcW w:w="1779" w:type="dxa"/>
            <w:vAlign w:val="center"/>
          </w:tcPr>
          <w:p>
            <w:pPr>
              <w:keepNext w:val="0"/>
              <w:keepLines w:val="0"/>
              <w:pageBreakBefore w:val="0"/>
              <w:widowControl w:val="0"/>
              <w:kinsoku/>
              <w:wordWrap/>
              <w:overflowPunct/>
              <w:topLinePunct w:val="0"/>
              <w:autoSpaceDE w:val="0"/>
              <w:autoSpaceDN w:val="0"/>
              <w:bidi w:val="0"/>
              <w:adjustRightInd w:val="0"/>
              <w:snapToGrid w:val="0"/>
              <w:spacing w:line="480" w:lineRule="auto"/>
              <w:ind w:firstLine="0" w:firstLineChars="0"/>
              <w:textAlignment w:val="auto"/>
              <w:rPr>
                <w:rFonts w:hint="eastAsia" w:ascii="宋体" w:hAnsi="宋体"/>
                <w:color w:val="auto"/>
                <w:kern w:val="0"/>
                <w:sz w:val="30"/>
                <w:szCs w:val="30"/>
                <w:highlight w:val="none"/>
                <w:u w:val="single"/>
              </w:rPr>
            </w:pPr>
            <w:r>
              <w:rPr>
                <w:rFonts w:hint="eastAsia" w:ascii="宋体" w:hAnsi="宋体"/>
                <w:color w:val="auto"/>
                <w:kern w:val="0"/>
                <w:sz w:val="30"/>
                <w:szCs w:val="30"/>
                <w:highlight w:val="none"/>
                <w:u w:val="single"/>
                <w:lang w:eastAsia="zh-CN"/>
              </w:rPr>
              <w:t>祝雄涛</w:t>
            </w:r>
            <w:r>
              <w:rPr>
                <w:rFonts w:hint="eastAsia" w:ascii="宋体" w:hAnsi="宋体"/>
                <w:color w:val="auto"/>
                <w:kern w:val="0"/>
                <w:sz w:val="30"/>
                <w:szCs w:val="30"/>
                <w:highlight w:val="none"/>
                <w:u w:val="single"/>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8" w:hRule="atLeast"/>
          <w:jc w:val="center"/>
        </w:trPr>
        <w:tc>
          <w:tcPr>
            <w:tcW w:w="2510" w:type="dxa"/>
            <w:vAlign w:val="center"/>
          </w:tcPr>
          <w:p>
            <w:pPr>
              <w:keepNext w:val="0"/>
              <w:keepLines w:val="0"/>
              <w:pageBreakBefore w:val="0"/>
              <w:widowControl w:val="0"/>
              <w:kinsoku/>
              <w:wordWrap/>
              <w:overflowPunct/>
              <w:topLinePunct w:val="0"/>
              <w:autoSpaceDE w:val="0"/>
              <w:autoSpaceDN w:val="0"/>
              <w:bidi w:val="0"/>
              <w:adjustRightInd w:val="0"/>
              <w:snapToGrid w:val="0"/>
              <w:spacing w:line="480" w:lineRule="auto"/>
              <w:ind w:firstLine="0" w:firstLineChars="0"/>
              <w:jc w:val="distribute"/>
              <w:textAlignment w:val="auto"/>
              <w:rPr>
                <w:rFonts w:hint="eastAsia" w:ascii="宋体" w:hAnsi="宋体" w:eastAsia="宋体"/>
                <w:color w:val="auto"/>
                <w:kern w:val="0"/>
                <w:sz w:val="30"/>
                <w:szCs w:val="30"/>
                <w:highlight w:val="none"/>
                <w:lang w:val="en-US" w:eastAsia="zh-CN"/>
              </w:rPr>
            </w:pPr>
            <w:r>
              <w:rPr>
                <w:rFonts w:hint="eastAsia" w:ascii="宋体" w:hAnsi="宋体"/>
                <w:color w:val="auto"/>
                <w:kern w:val="0"/>
                <w:sz w:val="30"/>
                <w:szCs w:val="30"/>
                <w:highlight w:val="none"/>
                <w:lang w:val="en-US" w:eastAsia="zh-CN"/>
              </w:rPr>
              <w:t>审  核：</w:t>
            </w:r>
          </w:p>
        </w:tc>
        <w:tc>
          <w:tcPr>
            <w:tcW w:w="1779" w:type="dxa"/>
            <w:vAlign w:val="center"/>
          </w:tcPr>
          <w:p>
            <w:pPr>
              <w:keepNext w:val="0"/>
              <w:keepLines w:val="0"/>
              <w:pageBreakBefore w:val="0"/>
              <w:widowControl w:val="0"/>
              <w:kinsoku/>
              <w:wordWrap/>
              <w:overflowPunct/>
              <w:topLinePunct w:val="0"/>
              <w:autoSpaceDE w:val="0"/>
              <w:autoSpaceDN w:val="0"/>
              <w:bidi w:val="0"/>
              <w:adjustRightInd w:val="0"/>
              <w:snapToGrid w:val="0"/>
              <w:spacing w:line="480" w:lineRule="auto"/>
              <w:ind w:firstLine="0" w:firstLineChars="0"/>
              <w:textAlignment w:val="auto"/>
              <w:rPr>
                <w:rFonts w:hint="eastAsia" w:ascii="宋体" w:hAnsi="宋体"/>
                <w:color w:val="auto"/>
                <w:kern w:val="0"/>
                <w:sz w:val="30"/>
                <w:szCs w:val="30"/>
                <w:highlight w:val="none"/>
                <w:u w:val="single"/>
              </w:rPr>
            </w:pPr>
            <w:r>
              <w:rPr>
                <w:rFonts w:hint="eastAsia" w:ascii="宋体" w:hAnsi="宋体"/>
                <w:color w:val="auto"/>
                <w:kern w:val="0"/>
                <w:sz w:val="30"/>
                <w:szCs w:val="30"/>
                <w:highlight w:val="none"/>
                <w:u w:val="single"/>
                <w:lang w:eastAsia="zh-CN"/>
              </w:rPr>
              <w:t>陈壬淦</w:t>
            </w:r>
            <w:r>
              <w:rPr>
                <w:rFonts w:hint="eastAsia" w:ascii="宋体" w:hAnsi="宋体"/>
                <w:color w:val="auto"/>
                <w:kern w:val="0"/>
                <w:sz w:val="30"/>
                <w:szCs w:val="30"/>
                <w:highlight w:val="none"/>
                <w:u w:val="single"/>
                <w:lang w:val="en-US" w:eastAsia="zh-CN"/>
              </w:rPr>
              <w:t xml:space="preserve"> </w:t>
            </w:r>
            <w:r>
              <w:rPr>
                <w:rFonts w:hint="eastAsia" w:ascii="宋体" w:hAnsi="宋体"/>
                <w:color w:val="auto"/>
                <w:kern w:val="0"/>
                <w:sz w:val="30"/>
                <w:szCs w:val="30"/>
                <w:highlight w:val="none"/>
                <w:u w:val="single"/>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8" w:hRule="atLeast"/>
          <w:jc w:val="center"/>
        </w:trPr>
        <w:tc>
          <w:tcPr>
            <w:tcW w:w="2510" w:type="dxa"/>
            <w:vAlign w:val="center"/>
          </w:tcPr>
          <w:p>
            <w:pPr>
              <w:keepNext w:val="0"/>
              <w:keepLines w:val="0"/>
              <w:pageBreakBefore w:val="0"/>
              <w:widowControl w:val="0"/>
              <w:kinsoku/>
              <w:wordWrap/>
              <w:overflowPunct/>
              <w:topLinePunct w:val="0"/>
              <w:autoSpaceDE w:val="0"/>
              <w:autoSpaceDN w:val="0"/>
              <w:bidi w:val="0"/>
              <w:adjustRightInd w:val="0"/>
              <w:snapToGrid w:val="0"/>
              <w:spacing w:line="480" w:lineRule="auto"/>
              <w:ind w:firstLine="0" w:firstLineChars="0"/>
              <w:jc w:val="distribute"/>
              <w:textAlignment w:val="auto"/>
              <w:rPr>
                <w:rFonts w:ascii="宋体" w:hAnsi="宋体"/>
                <w:color w:val="auto"/>
                <w:kern w:val="0"/>
                <w:sz w:val="30"/>
                <w:szCs w:val="30"/>
                <w:highlight w:val="none"/>
              </w:rPr>
            </w:pPr>
            <w:r>
              <w:rPr>
                <w:rFonts w:hint="eastAsia" w:ascii="宋体" w:hAnsi="宋体"/>
                <w:color w:val="auto"/>
                <w:kern w:val="0"/>
                <w:sz w:val="30"/>
                <w:szCs w:val="30"/>
                <w:highlight w:val="none"/>
              </w:rPr>
              <w:t>项目（总）负责：</w:t>
            </w:r>
          </w:p>
        </w:tc>
        <w:tc>
          <w:tcPr>
            <w:tcW w:w="1779" w:type="dxa"/>
            <w:vAlign w:val="center"/>
          </w:tcPr>
          <w:p>
            <w:pPr>
              <w:keepNext w:val="0"/>
              <w:keepLines w:val="0"/>
              <w:pageBreakBefore w:val="0"/>
              <w:widowControl w:val="0"/>
              <w:kinsoku/>
              <w:wordWrap/>
              <w:overflowPunct/>
              <w:topLinePunct w:val="0"/>
              <w:autoSpaceDE w:val="0"/>
              <w:autoSpaceDN w:val="0"/>
              <w:bidi w:val="0"/>
              <w:adjustRightInd w:val="0"/>
              <w:snapToGrid w:val="0"/>
              <w:spacing w:line="480" w:lineRule="auto"/>
              <w:ind w:firstLine="0" w:firstLineChars="0"/>
              <w:textAlignment w:val="auto"/>
              <w:rPr>
                <w:rFonts w:ascii="宋体" w:hAnsi="宋体"/>
                <w:color w:val="auto"/>
                <w:kern w:val="0"/>
                <w:sz w:val="30"/>
                <w:szCs w:val="30"/>
                <w:highlight w:val="none"/>
              </w:rPr>
            </w:pPr>
            <w:r>
              <w:rPr>
                <w:rFonts w:hint="eastAsia" w:ascii="宋体" w:hAnsi="宋体"/>
                <w:color w:val="auto"/>
                <w:kern w:val="0"/>
                <w:sz w:val="30"/>
                <w:szCs w:val="30"/>
                <w:highlight w:val="none"/>
                <w:u w:val="single"/>
                <w:lang w:eastAsia="zh-CN"/>
              </w:rPr>
              <w:t>陈壬淦</w:t>
            </w:r>
            <w:r>
              <w:rPr>
                <w:rFonts w:hint="eastAsia" w:ascii="宋体" w:hAnsi="宋体"/>
                <w:color w:val="auto"/>
                <w:kern w:val="0"/>
                <w:sz w:val="30"/>
                <w:szCs w:val="30"/>
                <w:highlight w:val="none"/>
                <w:u w:val="single"/>
              </w:rPr>
              <w:t xml:space="preserve">  </w:t>
            </w:r>
          </w:p>
        </w:tc>
      </w:tr>
    </w:tbl>
    <w:p>
      <w:pPr>
        <w:keepNext w:val="0"/>
        <w:keepLines w:val="0"/>
        <w:pageBreakBefore w:val="0"/>
        <w:kinsoku/>
        <w:wordWrap/>
        <w:overflowPunct/>
        <w:topLinePunct w:val="0"/>
        <w:bidi w:val="0"/>
        <w:ind w:left="0" w:leftChars="0" w:firstLine="0" w:firstLineChars="0"/>
        <w:jc w:val="center"/>
        <w:textAlignment w:val="auto"/>
        <w:rPr>
          <w:rFonts w:hint="eastAsia" w:ascii="Times New Roman" w:hAnsi="Times New Roman" w:cs="Times New Roman"/>
          <w:color w:val="auto"/>
          <w:sz w:val="72"/>
          <w:szCs w:val="72"/>
          <w:highlight w:val="none"/>
          <w:lang w:eastAsia="zh-CN"/>
        </w:rPr>
      </w:pPr>
    </w:p>
    <w:p>
      <w:pPr>
        <w:keepNext w:val="0"/>
        <w:keepLines w:val="0"/>
        <w:pageBreakBefore w:val="0"/>
        <w:kinsoku/>
        <w:wordWrap/>
        <w:overflowPunct/>
        <w:topLinePunct w:val="0"/>
        <w:bidi w:val="0"/>
        <w:ind w:left="0" w:leftChars="0" w:firstLine="0" w:firstLineChars="0"/>
        <w:jc w:val="center"/>
        <w:textAlignment w:val="auto"/>
        <w:rPr>
          <w:rFonts w:hint="eastAsia" w:ascii="Times New Roman" w:hAnsi="Times New Roman" w:cs="Times New Roman"/>
          <w:color w:val="auto"/>
          <w:sz w:val="72"/>
          <w:szCs w:val="72"/>
          <w:highlight w:val="none"/>
          <w:lang w:eastAsia="zh-CN"/>
        </w:rPr>
      </w:pPr>
    </w:p>
    <w:p>
      <w:pPr>
        <w:pStyle w:val="30"/>
        <w:keepNext w:val="0"/>
        <w:keepLines w:val="0"/>
        <w:pageBreakBefore w:val="0"/>
        <w:kinsoku/>
        <w:wordWrap/>
        <w:overflowPunct/>
        <w:topLinePunct w:val="0"/>
        <w:bidi w:val="0"/>
        <w:ind w:firstLine="0" w:firstLineChars="0"/>
        <w:textAlignment w:val="auto"/>
        <w:rPr>
          <w:rFonts w:hint="eastAsia" w:ascii="Times New Roman" w:hAnsi="Times New Roman" w:cs="Times New Roman"/>
          <w:color w:val="auto"/>
          <w:sz w:val="72"/>
          <w:szCs w:val="72"/>
          <w:highlight w:val="none"/>
          <w:lang w:eastAsia="zh-CN"/>
        </w:rPr>
      </w:pPr>
    </w:p>
    <w:p>
      <w:pPr>
        <w:pStyle w:val="30"/>
        <w:keepNext w:val="0"/>
        <w:keepLines w:val="0"/>
        <w:pageBreakBefore w:val="0"/>
        <w:kinsoku/>
        <w:wordWrap/>
        <w:overflowPunct/>
        <w:topLinePunct w:val="0"/>
        <w:bidi w:val="0"/>
        <w:ind w:firstLine="0" w:firstLineChars="0"/>
        <w:textAlignment w:val="auto"/>
        <w:rPr>
          <w:rFonts w:hint="eastAsia" w:ascii="Times New Roman" w:hAnsi="Times New Roman" w:cs="Times New Roman"/>
          <w:color w:val="auto"/>
          <w:sz w:val="72"/>
          <w:szCs w:val="72"/>
          <w:highlight w:val="none"/>
          <w:lang w:eastAsia="zh-CN"/>
        </w:rPr>
      </w:pPr>
    </w:p>
    <w:p>
      <w:pPr>
        <w:ind w:left="0" w:leftChars="0" w:firstLine="0" w:firstLineChars="0"/>
        <w:jc w:val="center"/>
        <w:rPr>
          <w:rFonts w:hint="eastAsia" w:ascii="Times New Roman" w:hAnsi="Times New Roman" w:cs="Times New Roman"/>
          <w:color w:val="auto"/>
          <w:sz w:val="72"/>
          <w:szCs w:val="72"/>
          <w:highlight w:val="none"/>
          <w:lang w:eastAsia="zh-CN"/>
        </w:rPr>
      </w:pPr>
    </w:p>
    <w:p>
      <w:pPr>
        <w:pStyle w:val="30"/>
        <w:keepNext w:val="0"/>
        <w:keepLines w:val="0"/>
        <w:pageBreakBefore w:val="0"/>
        <w:kinsoku/>
        <w:wordWrap/>
        <w:overflowPunct/>
        <w:topLinePunct w:val="0"/>
        <w:bidi w:val="0"/>
        <w:snapToGrid/>
        <w:ind w:firstLine="0" w:firstLineChars="0"/>
        <w:jc w:val="center"/>
        <w:textAlignment w:val="auto"/>
        <w:rPr>
          <w:rFonts w:hint="default"/>
          <w:lang w:val="en-US" w:eastAsia="zh-CN"/>
        </w:rPr>
      </w:pPr>
    </w:p>
    <w:p>
      <w:pPr>
        <w:keepNext w:val="0"/>
        <w:keepLines w:val="0"/>
        <w:pageBreakBefore w:val="0"/>
        <w:kinsoku/>
        <w:wordWrap/>
        <w:overflowPunct/>
        <w:topLinePunct w:val="0"/>
        <w:autoSpaceDE w:val="0"/>
        <w:autoSpaceDN w:val="0"/>
        <w:bidi w:val="0"/>
        <w:adjustRightInd w:val="0"/>
        <w:snapToGrid/>
        <w:ind w:firstLine="0" w:firstLineChars="0"/>
        <w:jc w:val="center"/>
        <w:textAlignment w:val="auto"/>
        <w:rPr>
          <w:rFonts w:ascii="宋体" w:hAnsi="MS Sans Serif"/>
          <w:color w:val="auto"/>
          <w:kern w:val="0"/>
          <w:sz w:val="28"/>
          <w:szCs w:val="32"/>
          <w:highlight w:val="none"/>
        </w:rPr>
      </w:pPr>
      <w:r>
        <w:rPr>
          <w:rFonts w:hint="eastAsia" w:ascii="宋体" w:hAnsi="MS Sans Serif" w:eastAsia="宋体"/>
          <w:color w:val="auto"/>
          <w:kern w:val="0"/>
          <w:sz w:val="28"/>
          <w:szCs w:val="32"/>
          <w:highlight w:val="none"/>
          <w:lang w:eastAsia="zh-CN"/>
        </w:rPr>
        <w:drawing>
          <wp:inline distT="0" distB="0" distL="114300" distR="114300">
            <wp:extent cx="4300220" cy="697230"/>
            <wp:effectExtent l="0" t="0" r="5080" b="7620"/>
            <wp:docPr id="101" name="图片 4" descr="广州市城建规划设计院有限公司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4" descr="广州市城建规划设计院有限公司6"/>
                    <pic:cNvPicPr>
                      <a:picLocks noChangeAspect="1"/>
                    </pic:cNvPicPr>
                  </pic:nvPicPr>
                  <pic:blipFill>
                    <a:blip r:embed="rId11"/>
                    <a:srcRect t="39967" b="39771"/>
                    <a:stretch>
                      <a:fillRect/>
                    </a:stretch>
                  </pic:blipFill>
                  <pic:spPr>
                    <a:xfrm>
                      <a:off x="0" y="0"/>
                      <a:ext cx="4300220" cy="697230"/>
                    </a:xfrm>
                    <a:prstGeom prst="rect">
                      <a:avLst/>
                    </a:prstGeom>
                    <a:noFill/>
                    <a:ln>
                      <a:noFill/>
                    </a:ln>
                  </pic:spPr>
                </pic:pic>
              </a:graphicData>
            </a:graphic>
          </wp:inline>
        </w:drawing>
      </w:r>
    </w:p>
    <w:p>
      <w:pPr>
        <w:keepNext w:val="0"/>
        <w:keepLines w:val="0"/>
        <w:pageBreakBefore w:val="0"/>
        <w:tabs>
          <w:tab w:val="left" w:pos="720"/>
        </w:tabs>
        <w:kinsoku/>
        <w:wordWrap/>
        <w:overflowPunct/>
        <w:topLinePunct w:val="0"/>
        <w:autoSpaceDE w:val="0"/>
        <w:autoSpaceDN w:val="0"/>
        <w:bidi w:val="0"/>
        <w:adjustRightInd w:val="0"/>
        <w:snapToGrid/>
        <w:spacing w:before="156" w:beforeLines="50"/>
        <w:ind w:firstLine="0" w:firstLineChars="0"/>
        <w:jc w:val="center"/>
        <w:textAlignment w:val="auto"/>
        <w:rPr>
          <w:rFonts w:ascii="黑体" w:hAnsi="MS Sans Serif" w:eastAsia="黑体"/>
          <w:color w:val="auto"/>
          <w:kern w:val="0"/>
          <w:szCs w:val="21"/>
          <w:highlight w:val="none"/>
          <w:lang w:val="zh-CN"/>
        </w:rPr>
      </w:pPr>
      <w:r>
        <w:rPr>
          <w:rFonts w:hint="eastAsia" w:ascii="黑体" w:hAnsi="MS Sans Serif" w:eastAsia="黑体"/>
          <w:color w:val="auto"/>
          <w:kern w:val="0"/>
          <w:szCs w:val="21"/>
          <w:highlight w:val="none"/>
          <w:lang w:val="zh-CN"/>
        </w:rPr>
        <w:t>(市政公用工程甲级资信证书编号：914401014553521338-18ZYJ18)</w:t>
      </w:r>
    </w:p>
    <w:p>
      <w:pPr>
        <w:keepNext w:val="0"/>
        <w:keepLines w:val="0"/>
        <w:pageBreakBefore w:val="0"/>
        <w:tabs>
          <w:tab w:val="left" w:pos="720"/>
        </w:tabs>
        <w:kinsoku/>
        <w:wordWrap/>
        <w:overflowPunct/>
        <w:topLinePunct w:val="0"/>
        <w:autoSpaceDE w:val="0"/>
        <w:autoSpaceDN w:val="0"/>
        <w:bidi w:val="0"/>
        <w:adjustRightInd w:val="0"/>
        <w:snapToGrid/>
        <w:spacing w:before="156" w:beforeLines="50" w:after="312" w:afterLines="100" w:line="360" w:lineRule="auto"/>
        <w:ind w:left="357" w:firstLine="0" w:firstLineChars="0"/>
        <w:jc w:val="center"/>
        <w:textAlignment w:val="auto"/>
        <w:rPr>
          <w:rFonts w:hint="eastAsia"/>
          <w:color w:val="auto"/>
        </w:rPr>
      </w:pPr>
      <w:r>
        <w:rPr>
          <w:rFonts w:hint="eastAsia" w:ascii="黑体" w:hAnsi="MS Sans Serif" w:eastAsia="黑体"/>
          <w:color w:val="auto"/>
          <w:kern w:val="0"/>
          <w:sz w:val="36"/>
          <w:szCs w:val="36"/>
          <w:highlight w:val="none"/>
          <w:lang w:val="zh-CN"/>
        </w:rPr>
        <w:t>202</w:t>
      </w:r>
      <w:r>
        <w:rPr>
          <w:rFonts w:hint="eastAsia" w:ascii="黑体" w:hAnsi="MS Sans Serif" w:eastAsia="黑体"/>
          <w:color w:val="auto"/>
          <w:kern w:val="0"/>
          <w:sz w:val="36"/>
          <w:szCs w:val="36"/>
          <w:highlight w:val="none"/>
          <w:lang w:val="en-US" w:eastAsia="zh-CN"/>
        </w:rPr>
        <w:t>3</w:t>
      </w:r>
      <w:r>
        <w:rPr>
          <w:rFonts w:hint="eastAsia" w:ascii="黑体" w:hAnsi="MS Sans Serif" w:eastAsia="黑体"/>
          <w:color w:val="auto"/>
          <w:kern w:val="0"/>
          <w:sz w:val="36"/>
          <w:szCs w:val="36"/>
          <w:highlight w:val="none"/>
          <w:lang w:val="zh-CN"/>
        </w:rPr>
        <w:t>年</w:t>
      </w:r>
      <w:r>
        <w:rPr>
          <w:rFonts w:hint="eastAsia" w:ascii="黑体" w:hAnsi="MS Sans Serif" w:eastAsia="黑体"/>
          <w:color w:val="auto"/>
          <w:kern w:val="0"/>
          <w:sz w:val="36"/>
          <w:szCs w:val="36"/>
          <w:highlight w:val="none"/>
          <w:lang w:val="en-US" w:eastAsia="zh-CN"/>
        </w:rPr>
        <w:t>07</w:t>
      </w:r>
      <w:r>
        <w:rPr>
          <w:rFonts w:hint="eastAsia" w:ascii="黑体" w:hAnsi="MS Sans Serif" w:eastAsia="黑体"/>
          <w:color w:val="auto"/>
          <w:kern w:val="0"/>
          <w:sz w:val="36"/>
          <w:szCs w:val="36"/>
          <w:highlight w:val="none"/>
          <w:lang w:val="zh-CN"/>
        </w:rPr>
        <w:t>月</w:t>
      </w:r>
    </w:p>
    <w:p>
      <w:pPr>
        <w:pStyle w:val="30"/>
        <w:rPr>
          <w:rFonts w:hint="eastAsia"/>
          <w:color w:val="auto"/>
        </w:rPr>
      </w:pPr>
    </w:p>
    <w:p>
      <w:pPr>
        <w:pStyle w:val="30"/>
        <w:keepNext w:val="0"/>
        <w:keepLines w:val="0"/>
        <w:pageBreakBefore w:val="0"/>
        <w:widowControl/>
        <w:kinsoku/>
        <w:wordWrap/>
        <w:overflowPunct/>
        <w:topLinePunct w:val="0"/>
        <w:autoSpaceDE/>
        <w:autoSpaceDN/>
        <w:bidi w:val="0"/>
        <w:adjustRightInd/>
        <w:snapToGrid/>
        <w:ind w:left="0" w:firstLine="0" w:firstLineChars="0"/>
        <w:jc w:val="center"/>
        <w:textAlignment w:val="auto"/>
        <w:rPr>
          <w:rFonts w:hint="eastAsia" w:ascii="黑体" w:hAnsi="黑体" w:eastAsia="黑体" w:cs="黑体"/>
          <w:color w:val="auto"/>
          <w:sz w:val="44"/>
          <w:szCs w:val="44"/>
          <w:lang w:eastAsia="zh-CN"/>
        </w:rPr>
      </w:pPr>
      <w:r>
        <w:rPr>
          <w:rFonts w:hint="eastAsia" w:ascii="黑体" w:hAnsi="黑体" w:eastAsia="黑体" w:cs="黑体"/>
          <w:color w:val="auto"/>
          <w:sz w:val="44"/>
          <w:szCs w:val="44"/>
          <w:lang w:eastAsia="zh-CN"/>
        </w:rPr>
        <w:drawing>
          <wp:inline distT="0" distB="0" distL="114300" distR="114300">
            <wp:extent cx="5747385" cy="8136890"/>
            <wp:effectExtent l="0" t="0" r="5715" b="16510"/>
            <wp:docPr id="45" name="图片 45" descr="0d348375d94be5c70ccbdc450ea51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0d348375d94be5c70ccbdc450ea514a"/>
                    <pic:cNvPicPr>
                      <a:picLocks noChangeAspect="1"/>
                    </pic:cNvPicPr>
                  </pic:nvPicPr>
                  <pic:blipFill>
                    <a:blip r:embed="rId12"/>
                    <a:stretch>
                      <a:fillRect/>
                    </a:stretch>
                  </pic:blipFill>
                  <pic:spPr>
                    <a:xfrm>
                      <a:off x="0" y="0"/>
                      <a:ext cx="5747385" cy="8136890"/>
                    </a:xfrm>
                    <a:prstGeom prst="rect">
                      <a:avLst/>
                    </a:prstGeom>
                  </pic:spPr>
                </pic:pic>
              </a:graphicData>
            </a:graphic>
          </wp:inline>
        </w:drawing>
      </w:r>
    </w:p>
    <w:p>
      <w:pPr>
        <w:pStyle w:val="30"/>
        <w:keepNext w:val="0"/>
        <w:keepLines w:val="0"/>
        <w:pageBreakBefore w:val="0"/>
        <w:widowControl/>
        <w:kinsoku/>
        <w:wordWrap/>
        <w:overflowPunct/>
        <w:topLinePunct w:val="0"/>
        <w:autoSpaceDE/>
        <w:autoSpaceDN/>
        <w:bidi w:val="0"/>
        <w:adjustRightInd/>
        <w:snapToGrid/>
        <w:ind w:left="0" w:firstLine="0" w:firstLineChars="0"/>
        <w:jc w:val="center"/>
        <w:textAlignment w:val="auto"/>
        <w:rPr>
          <w:rFonts w:hint="eastAsia" w:ascii="黑体" w:hAnsi="黑体" w:eastAsia="黑体" w:cs="黑体"/>
          <w:color w:val="auto"/>
          <w:sz w:val="44"/>
          <w:szCs w:val="44"/>
          <w:lang w:eastAsia="zh-CN"/>
        </w:rPr>
      </w:pPr>
    </w:p>
    <w:p>
      <w:pPr>
        <w:pStyle w:val="30"/>
        <w:keepNext w:val="0"/>
        <w:keepLines w:val="0"/>
        <w:pageBreakBefore w:val="0"/>
        <w:widowControl/>
        <w:kinsoku/>
        <w:wordWrap/>
        <w:overflowPunct/>
        <w:topLinePunct w:val="0"/>
        <w:autoSpaceDE/>
        <w:autoSpaceDN/>
        <w:bidi w:val="0"/>
        <w:adjustRightInd/>
        <w:snapToGrid/>
        <w:ind w:left="0" w:firstLine="0" w:firstLineChars="0"/>
        <w:jc w:val="center"/>
        <w:textAlignment w:val="auto"/>
        <w:rPr>
          <w:rFonts w:hint="eastAsia" w:ascii="黑体" w:hAnsi="黑体" w:eastAsia="黑体" w:cs="黑体"/>
          <w:color w:val="auto"/>
          <w:sz w:val="44"/>
          <w:szCs w:val="44"/>
          <w:lang w:eastAsia="zh-CN"/>
        </w:rPr>
      </w:pPr>
      <w:r>
        <w:rPr>
          <w:rFonts w:hint="eastAsia" w:ascii="黑体" w:hAnsi="黑体" w:eastAsia="黑体" w:cs="黑体"/>
          <w:color w:val="auto"/>
          <w:sz w:val="44"/>
          <w:szCs w:val="44"/>
          <w:lang w:eastAsia="zh-CN"/>
        </w:rPr>
        <w:drawing>
          <wp:inline distT="0" distB="0" distL="114300" distR="114300">
            <wp:extent cx="7847965" cy="5540375"/>
            <wp:effectExtent l="0" t="0" r="3175" b="635"/>
            <wp:docPr id="44" name="图片 4" descr="（城建院）营业执照副本2022 -仅供业务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 descr="（城建院）营业执照副本2022 -仅供业务查询"/>
                    <pic:cNvPicPr>
                      <a:picLocks noChangeAspect="1"/>
                    </pic:cNvPicPr>
                  </pic:nvPicPr>
                  <pic:blipFill>
                    <a:blip r:embed="rId13"/>
                    <a:stretch>
                      <a:fillRect/>
                    </a:stretch>
                  </pic:blipFill>
                  <pic:spPr>
                    <a:xfrm rot="5400000">
                      <a:off x="0" y="0"/>
                      <a:ext cx="7847965" cy="5540375"/>
                    </a:xfrm>
                    <a:prstGeom prst="rect">
                      <a:avLst/>
                    </a:prstGeom>
                    <a:noFill/>
                    <a:ln>
                      <a:noFill/>
                    </a:ln>
                  </pic:spPr>
                </pic:pic>
              </a:graphicData>
            </a:graphic>
          </wp:inline>
        </w:drawing>
      </w:r>
    </w:p>
    <w:p>
      <w:pPr>
        <w:pStyle w:val="30"/>
        <w:keepNext w:val="0"/>
        <w:keepLines w:val="0"/>
        <w:pageBreakBefore w:val="0"/>
        <w:widowControl/>
        <w:kinsoku/>
        <w:wordWrap/>
        <w:overflowPunct/>
        <w:topLinePunct w:val="0"/>
        <w:autoSpaceDE/>
        <w:autoSpaceDN/>
        <w:bidi w:val="0"/>
        <w:adjustRightInd/>
        <w:snapToGrid/>
        <w:ind w:left="0" w:firstLine="0" w:firstLineChars="0"/>
        <w:jc w:val="center"/>
        <w:textAlignment w:val="auto"/>
        <w:rPr>
          <w:rFonts w:hint="eastAsia" w:ascii="黑体" w:hAnsi="黑体" w:eastAsia="黑体" w:cs="黑体"/>
          <w:color w:val="auto"/>
          <w:sz w:val="44"/>
          <w:szCs w:val="44"/>
          <w:lang w:eastAsia="zh-CN"/>
        </w:rPr>
      </w:pPr>
    </w:p>
    <w:p>
      <w:pPr>
        <w:pStyle w:val="30"/>
        <w:keepNext w:val="0"/>
        <w:keepLines w:val="0"/>
        <w:pageBreakBefore w:val="0"/>
        <w:widowControl/>
        <w:kinsoku/>
        <w:wordWrap/>
        <w:overflowPunct/>
        <w:topLinePunct w:val="0"/>
        <w:autoSpaceDE/>
        <w:autoSpaceDN/>
        <w:bidi w:val="0"/>
        <w:adjustRightInd/>
        <w:snapToGrid/>
        <w:ind w:left="0" w:firstLine="0" w:firstLineChars="0"/>
        <w:jc w:val="left"/>
        <w:textAlignment w:val="auto"/>
      </w:pPr>
      <w:r>
        <w:rPr>
          <w:rFonts w:hint="eastAsia" w:ascii="黑体" w:hAnsi="黑体" w:eastAsia="黑体" w:cs="黑体"/>
          <w:color w:val="auto"/>
          <w:sz w:val="24"/>
          <w:szCs w:val="24"/>
          <w:lang w:eastAsia="zh-CN"/>
        </w:rPr>
        <w:t>可研阶段联审会专家评审会专家意见及回复</w:t>
      </w:r>
      <w:r>
        <w:drawing>
          <wp:inline distT="0" distB="0" distL="114300" distR="114300">
            <wp:extent cx="5298440" cy="6967855"/>
            <wp:effectExtent l="0" t="0" r="16510" b="4445"/>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14"/>
                    <a:stretch>
                      <a:fillRect/>
                    </a:stretch>
                  </pic:blipFill>
                  <pic:spPr>
                    <a:xfrm>
                      <a:off x="0" y="0"/>
                      <a:ext cx="5298440" cy="6967855"/>
                    </a:xfrm>
                    <a:prstGeom prst="rect">
                      <a:avLst/>
                    </a:prstGeom>
                    <a:noFill/>
                    <a:ln>
                      <a:noFill/>
                    </a:ln>
                  </pic:spPr>
                </pic:pic>
              </a:graphicData>
            </a:graphic>
          </wp:inline>
        </w:drawing>
      </w:r>
      <w:r>
        <w:drawing>
          <wp:inline distT="0" distB="0" distL="114300" distR="114300">
            <wp:extent cx="5571490" cy="7508875"/>
            <wp:effectExtent l="0" t="0" r="10160" b="15875"/>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15"/>
                    <a:stretch>
                      <a:fillRect/>
                    </a:stretch>
                  </pic:blipFill>
                  <pic:spPr>
                    <a:xfrm>
                      <a:off x="0" y="0"/>
                      <a:ext cx="5571490" cy="7508875"/>
                    </a:xfrm>
                    <a:prstGeom prst="rect">
                      <a:avLst/>
                    </a:prstGeom>
                    <a:noFill/>
                    <a:ln>
                      <a:noFill/>
                    </a:ln>
                  </pic:spPr>
                </pic:pic>
              </a:graphicData>
            </a:graphic>
          </wp:inline>
        </w:drawing>
      </w:r>
    </w:p>
    <w:p>
      <w:pPr>
        <w:pStyle w:val="30"/>
        <w:keepNext w:val="0"/>
        <w:keepLines w:val="0"/>
        <w:pageBreakBefore w:val="0"/>
        <w:widowControl/>
        <w:kinsoku/>
        <w:wordWrap/>
        <w:overflowPunct/>
        <w:topLinePunct w:val="0"/>
        <w:autoSpaceDE/>
        <w:autoSpaceDN/>
        <w:bidi w:val="0"/>
        <w:adjustRightInd/>
        <w:snapToGrid/>
        <w:ind w:left="0" w:firstLine="0" w:firstLineChars="0"/>
        <w:jc w:val="left"/>
        <w:textAlignment w:val="auto"/>
        <w:rPr>
          <w:rFonts w:hint="eastAsia" w:ascii="黑体" w:hAnsi="黑体" w:eastAsia="黑体" w:cs="黑体"/>
          <w:color w:val="auto"/>
          <w:sz w:val="24"/>
          <w:szCs w:val="24"/>
          <w:lang w:eastAsia="zh-CN"/>
        </w:rPr>
      </w:pPr>
      <w:r>
        <w:drawing>
          <wp:inline distT="0" distB="0" distL="114300" distR="114300">
            <wp:extent cx="5368290" cy="3619500"/>
            <wp:effectExtent l="0" t="0" r="3810" b="0"/>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
                    <pic:cNvPicPr>
                      <a:picLocks noChangeAspect="1"/>
                    </pic:cNvPicPr>
                  </pic:nvPicPr>
                  <pic:blipFill>
                    <a:blip r:embed="rId16"/>
                    <a:stretch>
                      <a:fillRect/>
                    </a:stretch>
                  </pic:blipFill>
                  <pic:spPr>
                    <a:xfrm>
                      <a:off x="0" y="0"/>
                      <a:ext cx="5368290" cy="3619500"/>
                    </a:xfrm>
                    <a:prstGeom prst="rect">
                      <a:avLst/>
                    </a:prstGeom>
                    <a:noFill/>
                    <a:ln>
                      <a:noFill/>
                    </a:ln>
                  </pic:spPr>
                </pic:pic>
              </a:graphicData>
            </a:graphic>
          </wp:inline>
        </w:drawing>
      </w:r>
    </w:p>
    <w:p>
      <w:pPr>
        <w:pStyle w:val="30"/>
        <w:keepNext w:val="0"/>
        <w:keepLines w:val="0"/>
        <w:pageBreakBefore w:val="0"/>
        <w:widowControl/>
        <w:kinsoku/>
        <w:wordWrap/>
        <w:overflowPunct/>
        <w:topLinePunct w:val="0"/>
        <w:autoSpaceDE/>
        <w:autoSpaceDN/>
        <w:bidi w:val="0"/>
        <w:adjustRightInd/>
        <w:snapToGrid/>
        <w:ind w:left="0" w:firstLine="0" w:firstLineChars="0"/>
        <w:jc w:val="left"/>
        <w:textAlignment w:val="auto"/>
        <w:rPr>
          <w:rFonts w:hint="eastAsia" w:ascii="黑体" w:hAnsi="黑体" w:eastAsia="黑体" w:cs="黑体"/>
          <w:color w:val="auto"/>
          <w:sz w:val="24"/>
          <w:szCs w:val="24"/>
          <w:lang w:eastAsia="zh-CN"/>
        </w:rPr>
      </w:pPr>
    </w:p>
    <w:p>
      <w:pPr>
        <w:pStyle w:val="30"/>
        <w:keepNext w:val="0"/>
        <w:keepLines w:val="0"/>
        <w:pageBreakBefore w:val="0"/>
        <w:widowControl/>
        <w:kinsoku/>
        <w:wordWrap/>
        <w:overflowPunct/>
        <w:topLinePunct w:val="0"/>
        <w:autoSpaceDE/>
        <w:autoSpaceDN/>
        <w:bidi w:val="0"/>
        <w:adjustRightInd/>
        <w:snapToGrid/>
        <w:ind w:left="0" w:firstLine="0" w:firstLineChars="0"/>
        <w:jc w:val="left"/>
        <w:textAlignment w:val="auto"/>
        <w:rPr>
          <w:rFonts w:hint="eastAsia" w:ascii="黑体" w:hAnsi="黑体" w:eastAsia="黑体" w:cs="黑体"/>
          <w:color w:val="auto"/>
          <w:sz w:val="24"/>
          <w:szCs w:val="24"/>
          <w:lang w:eastAsia="zh-CN"/>
        </w:rPr>
      </w:pPr>
    </w:p>
    <w:p>
      <w:pPr>
        <w:pStyle w:val="30"/>
        <w:keepNext w:val="0"/>
        <w:keepLines w:val="0"/>
        <w:pageBreakBefore w:val="0"/>
        <w:widowControl/>
        <w:kinsoku/>
        <w:wordWrap/>
        <w:overflowPunct/>
        <w:topLinePunct w:val="0"/>
        <w:autoSpaceDE/>
        <w:autoSpaceDN/>
        <w:bidi w:val="0"/>
        <w:adjustRightInd/>
        <w:snapToGrid/>
        <w:ind w:left="0" w:firstLine="0" w:firstLineChars="0"/>
        <w:jc w:val="left"/>
        <w:textAlignment w:val="auto"/>
        <w:rPr>
          <w:rFonts w:hint="eastAsia" w:ascii="黑体" w:hAnsi="黑体" w:eastAsia="黑体" w:cs="黑体"/>
          <w:color w:val="auto"/>
          <w:sz w:val="24"/>
          <w:szCs w:val="24"/>
          <w:lang w:eastAsia="zh-CN"/>
        </w:rPr>
      </w:pPr>
    </w:p>
    <w:p>
      <w:pPr>
        <w:pStyle w:val="30"/>
        <w:keepNext/>
        <w:keepLines w:val="0"/>
        <w:pageBreakBefore w:val="0"/>
        <w:widowControl/>
        <w:kinsoku/>
        <w:wordWrap/>
        <w:overflowPunct/>
        <w:topLinePunct w:val="0"/>
        <w:autoSpaceDE/>
        <w:autoSpaceDN/>
        <w:bidi w:val="0"/>
        <w:adjustRightInd/>
        <w:snapToGrid/>
        <w:ind w:left="0" w:firstLine="0" w:firstLineChars="0"/>
        <w:jc w:val="left"/>
        <w:textAlignment w:val="auto"/>
        <w:rPr>
          <w:rFonts w:hint="eastAsia"/>
          <w:lang w:eastAsia="zh-CN"/>
        </w:rPr>
      </w:pPr>
      <w:r>
        <w:rPr>
          <w:rFonts w:hint="eastAsia" w:ascii="黑体" w:hAnsi="黑体" w:eastAsia="黑体" w:cs="黑体"/>
          <w:color w:val="auto"/>
          <w:sz w:val="24"/>
          <w:szCs w:val="24"/>
          <w:lang w:eastAsia="zh-CN"/>
        </w:rPr>
        <w:t>初步设计专家评审会专家意见及回复</w:t>
      </w:r>
    </w:p>
    <w:p>
      <w:pPr>
        <w:pStyle w:val="30"/>
        <w:keepNext w:val="0"/>
        <w:keepLines w:val="0"/>
        <w:pageBreakBefore w:val="0"/>
        <w:widowControl/>
        <w:kinsoku/>
        <w:wordWrap/>
        <w:overflowPunct/>
        <w:topLinePunct w:val="0"/>
        <w:autoSpaceDE/>
        <w:autoSpaceDN/>
        <w:bidi w:val="0"/>
        <w:adjustRightInd/>
        <w:snapToGrid/>
        <w:ind w:left="0" w:firstLine="0" w:firstLineChars="0"/>
        <w:jc w:val="center"/>
        <w:textAlignment w:val="auto"/>
      </w:pPr>
      <w:r>
        <w:drawing>
          <wp:inline distT="0" distB="0" distL="114300" distR="114300">
            <wp:extent cx="5367655" cy="7292340"/>
            <wp:effectExtent l="0" t="0" r="4445" b="3810"/>
            <wp:docPr id="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
                    <pic:cNvPicPr>
                      <a:picLocks noChangeAspect="1"/>
                    </pic:cNvPicPr>
                  </pic:nvPicPr>
                  <pic:blipFill>
                    <a:blip r:embed="rId17"/>
                    <a:stretch>
                      <a:fillRect/>
                    </a:stretch>
                  </pic:blipFill>
                  <pic:spPr>
                    <a:xfrm>
                      <a:off x="0" y="0"/>
                      <a:ext cx="5367655" cy="7292340"/>
                    </a:xfrm>
                    <a:prstGeom prst="rect">
                      <a:avLst/>
                    </a:prstGeom>
                    <a:noFill/>
                    <a:ln>
                      <a:noFill/>
                    </a:ln>
                  </pic:spPr>
                </pic:pic>
              </a:graphicData>
            </a:graphic>
          </wp:inline>
        </w:drawing>
      </w:r>
    </w:p>
    <w:p>
      <w:pPr>
        <w:pStyle w:val="30"/>
        <w:keepNext w:val="0"/>
        <w:keepLines w:val="0"/>
        <w:pageBreakBefore w:val="0"/>
        <w:widowControl/>
        <w:kinsoku/>
        <w:wordWrap/>
        <w:overflowPunct/>
        <w:topLinePunct w:val="0"/>
        <w:autoSpaceDE/>
        <w:autoSpaceDN/>
        <w:bidi w:val="0"/>
        <w:adjustRightInd/>
        <w:snapToGrid/>
        <w:ind w:left="0" w:firstLine="0" w:firstLineChars="0"/>
        <w:jc w:val="center"/>
        <w:textAlignment w:val="auto"/>
      </w:pPr>
      <w:r>
        <w:drawing>
          <wp:inline distT="0" distB="0" distL="114300" distR="114300">
            <wp:extent cx="5368925" cy="7181850"/>
            <wp:effectExtent l="0" t="0" r="3175" b="0"/>
            <wp:docPr id="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
                    <pic:cNvPicPr>
                      <a:picLocks noChangeAspect="1"/>
                    </pic:cNvPicPr>
                  </pic:nvPicPr>
                  <pic:blipFill>
                    <a:blip r:embed="rId18"/>
                    <a:stretch>
                      <a:fillRect/>
                    </a:stretch>
                  </pic:blipFill>
                  <pic:spPr>
                    <a:xfrm>
                      <a:off x="0" y="0"/>
                      <a:ext cx="5368925" cy="7181850"/>
                    </a:xfrm>
                    <a:prstGeom prst="rect">
                      <a:avLst/>
                    </a:prstGeom>
                    <a:noFill/>
                    <a:ln>
                      <a:noFill/>
                    </a:ln>
                  </pic:spPr>
                </pic:pic>
              </a:graphicData>
            </a:graphic>
          </wp:inline>
        </w:drawing>
      </w:r>
    </w:p>
    <w:p>
      <w:pPr>
        <w:pStyle w:val="30"/>
        <w:keepNext w:val="0"/>
        <w:keepLines w:val="0"/>
        <w:pageBreakBefore w:val="0"/>
        <w:widowControl/>
        <w:kinsoku/>
        <w:wordWrap/>
        <w:overflowPunct/>
        <w:topLinePunct w:val="0"/>
        <w:autoSpaceDE/>
        <w:autoSpaceDN/>
        <w:bidi w:val="0"/>
        <w:adjustRightInd/>
        <w:snapToGrid/>
        <w:ind w:left="0" w:firstLine="0" w:firstLineChars="0"/>
        <w:jc w:val="center"/>
        <w:textAlignment w:val="auto"/>
        <w:rPr>
          <w:rFonts w:hint="eastAsia"/>
          <w:lang w:eastAsia="zh-CN"/>
        </w:rPr>
      </w:pPr>
    </w:p>
    <w:p>
      <w:pPr>
        <w:keepNext w:val="0"/>
        <w:keepLines w:val="0"/>
        <w:pageBreakBefore w:val="0"/>
        <w:widowControl w:val="0"/>
        <w:kinsoku/>
        <w:wordWrap/>
        <w:overflowPunct/>
        <w:topLinePunct w:val="0"/>
        <w:autoSpaceDE/>
        <w:autoSpaceDN/>
        <w:bidi w:val="0"/>
        <w:adjustRightInd/>
        <w:snapToGrid/>
        <w:spacing w:line="540" w:lineRule="exact"/>
        <w:ind w:firstLine="564" w:firstLineChars="200"/>
        <w:textAlignment w:val="auto"/>
        <w:rPr>
          <w:rFonts w:hint="eastAsia" w:ascii="仿宋" w:hAnsi="仿宋" w:eastAsia="仿宋" w:cs="仿宋"/>
          <w:color w:val="auto"/>
          <w:sz w:val="28"/>
          <w:szCs w:val="28"/>
        </w:rPr>
      </w:pPr>
    </w:p>
    <w:p>
      <w:pPr>
        <w:keepNext w:val="0"/>
        <w:keepLines w:val="0"/>
        <w:pageBreakBefore w:val="0"/>
        <w:widowControl w:val="0"/>
        <w:kinsoku/>
        <w:wordWrap/>
        <w:overflowPunct/>
        <w:topLinePunct w:val="0"/>
        <w:autoSpaceDE/>
        <w:autoSpaceDN/>
        <w:bidi w:val="0"/>
        <w:adjustRightInd/>
        <w:snapToGrid/>
        <w:spacing w:line="540" w:lineRule="exact"/>
        <w:ind w:firstLine="564" w:firstLineChars="200"/>
        <w:textAlignment w:val="auto"/>
        <w:rPr>
          <w:rFonts w:hint="eastAsia" w:ascii="仿宋" w:hAnsi="仿宋" w:eastAsia="仿宋" w:cs="仿宋"/>
          <w:color w:val="auto"/>
          <w:sz w:val="28"/>
          <w:szCs w:val="28"/>
        </w:rPr>
      </w:pPr>
    </w:p>
    <w:p>
      <w:pPr>
        <w:keepNext w:val="0"/>
        <w:keepLines w:val="0"/>
        <w:pageBreakBefore w:val="0"/>
        <w:widowControl w:val="0"/>
        <w:kinsoku/>
        <w:wordWrap/>
        <w:overflowPunct/>
        <w:topLinePunct w:val="0"/>
        <w:autoSpaceDE/>
        <w:autoSpaceDN/>
        <w:bidi w:val="0"/>
        <w:adjustRightInd/>
        <w:snapToGrid/>
        <w:spacing w:line="540" w:lineRule="exact"/>
        <w:ind w:firstLine="564" w:firstLineChars="200"/>
        <w:textAlignment w:val="auto"/>
        <w:rPr>
          <w:rFonts w:hint="eastAsia" w:ascii="仿宋" w:hAnsi="仿宋" w:eastAsia="仿宋" w:cs="仿宋"/>
          <w:color w:val="auto"/>
          <w:sz w:val="28"/>
          <w:szCs w:val="28"/>
        </w:rPr>
      </w:pPr>
    </w:p>
    <w:p>
      <w:pPr>
        <w:keepNext w:val="0"/>
        <w:keepLines w:val="0"/>
        <w:pageBreakBefore w:val="0"/>
        <w:widowControl w:val="0"/>
        <w:kinsoku/>
        <w:wordWrap/>
        <w:overflowPunct/>
        <w:topLinePunct w:val="0"/>
        <w:autoSpaceDE/>
        <w:autoSpaceDN/>
        <w:bidi w:val="0"/>
        <w:adjustRightInd/>
        <w:snapToGrid/>
        <w:spacing w:line="540" w:lineRule="exact"/>
        <w:ind w:firstLine="564"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1、</w:t>
      </w:r>
      <w:r>
        <w:rPr>
          <w:rFonts w:hint="eastAsia" w:ascii="仿宋" w:hAnsi="仿宋" w:eastAsia="仿宋" w:cs="仿宋"/>
          <w:color w:val="auto"/>
          <w:sz w:val="28"/>
          <w:szCs w:val="28"/>
          <w:lang w:val="en-US" w:eastAsia="zh-CN"/>
        </w:rPr>
        <w:t>进一步核查项目范围内污水口位置及相关数据；</w:t>
      </w:r>
    </w:p>
    <w:p>
      <w:pPr>
        <w:keepNext w:val="0"/>
        <w:keepLines w:val="0"/>
        <w:pageBreakBefore w:val="0"/>
        <w:kinsoku/>
        <w:wordWrap/>
        <w:overflowPunct/>
        <w:topLinePunct w:val="0"/>
        <w:autoSpaceDE/>
        <w:autoSpaceDN/>
        <w:bidi w:val="0"/>
        <w:adjustRightInd/>
        <w:snapToGrid/>
        <w:spacing w:line="540" w:lineRule="exact"/>
        <w:ind w:firstLine="564"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回复：已核查项目范围内污水口位置及相关数据，详见平面图。</w:t>
      </w:r>
    </w:p>
    <w:p>
      <w:pPr>
        <w:keepNext w:val="0"/>
        <w:keepLines w:val="0"/>
        <w:pageBreakBefore w:val="0"/>
        <w:numPr>
          <w:ilvl w:val="0"/>
          <w:numId w:val="6"/>
        </w:numPr>
        <w:kinsoku/>
        <w:wordWrap/>
        <w:overflowPunct/>
        <w:topLinePunct w:val="0"/>
        <w:autoSpaceDE/>
        <w:autoSpaceDN/>
        <w:bidi w:val="0"/>
        <w:adjustRightInd/>
        <w:snapToGrid/>
        <w:spacing w:line="540" w:lineRule="exact"/>
        <w:ind w:firstLine="564"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复核工业废水是否具备接入条件及入市政管水质标准；</w:t>
      </w:r>
    </w:p>
    <w:p>
      <w:pPr>
        <w:keepNext w:val="0"/>
        <w:keepLines w:val="0"/>
        <w:pageBreakBefore w:val="0"/>
        <w:numPr>
          <w:ilvl w:val="0"/>
          <w:numId w:val="0"/>
        </w:numPr>
        <w:kinsoku/>
        <w:wordWrap/>
        <w:overflowPunct/>
        <w:topLinePunct w:val="0"/>
        <w:autoSpaceDE/>
        <w:autoSpaceDN/>
        <w:bidi w:val="0"/>
        <w:adjustRightInd/>
        <w:snapToGrid/>
        <w:spacing w:line="540" w:lineRule="exact"/>
        <w:ind w:firstLine="564"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 xml:space="preserve">   回复：范围内工业企业单位不在本项目改造范围内，各个工业企业应自行整改达标后将污水排放至市政污水管道，设计说明中已给出排放水质标准，详见说明“5.1.1排水水质要求”。</w:t>
      </w:r>
    </w:p>
    <w:p>
      <w:pPr>
        <w:keepNext w:val="0"/>
        <w:keepLines w:val="0"/>
        <w:pageBreakBefore w:val="0"/>
        <w:numPr>
          <w:ilvl w:val="0"/>
          <w:numId w:val="6"/>
        </w:numPr>
        <w:kinsoku/>
        <w:wordWrap/>
        <w:overflowPunct/>
        <w:topLinePunct w:val="0"/>
        <w:autoSpaceDE/>
        <w:autoSpaceDN/>
        <w:bidi w:val="0"/>
        <w:adjustRightInd/>
        <w:snapToGrid/>
        <w:spacing w:line="540" w:lineRule="exact"/>
        <w:ind w:left="0" w:leftChars="0" w:firstLine="564"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优化管内底标高，做好与现状管线的衔接避让;</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564" w:firstLineChars="200"/>
        <w:jc w:val="left"/>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回复：已复核优化管内底标高，支管标高根据勘察报告进行避让。</w:t>
      </w:r>
    </w:p>
    <w:p>
      <w:pPr>
        <w:keepNext w:val="0"/>
        <w:keepLines w:val="0"/>
        <w:pageBreakBefore w:val="0"/>
        <w:numPr>
          <w:ilvl w:val="0"/>
          <w:numId w:val="6"/>
        </w:numPr>
        <w:kinsoku/>
        <w:wordWrap/>
        <w:overflowPunct/>
        <w:topLinePunct w:val="0"/>
        <w:autoSpaceDE/>
        <w:autoSpaceDN/>
        <w:bidi w:val="0"/>
        <w:adjustRightInd/>
        <w:snapToGrid/>
        <w:spacing w:line="540" w:lineRule="exact"/>
        <w:ind w:left="0" w:leftChars="0" w:firstLine="564"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复核基坑结构的安全性及基坑施工的可操作性；</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564" w:firstLineChars="200"/>
        <w:jc w:val="left"/>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回复：已复核基坑机构安全性及可操作性，并修改基坑大样图、围堰大样图等，并出具基坑计算书。</w:t>
      </w:r>
    </w:p>
    <w:p>
      <w:pPr>
        <w:keepNext w:val="0"/>
        <w:keepLines w:val="0"/>
        <w:pageBreakBefore w:val="0"/>
        <w:numPr>
          <w:ilvl w:val="0"/>
          <w:numId w:val="6"/>
        </w:numPr>
        <w:kinsoku/>
        <w:wordWrap/>
        <w:overflowPunct/>
        <w:topLinePunct w:val="0"/>
        <w:autoSpaceDE/>
        <w:autoSpaceDN/>
        <w:bidi w:val="0"/>
        <w:adjustRightInd/>
        <w:snapToGrid/>
        <w:spacing w:line="540" w:lineRule="exact"/>
        <w:ind w:left="0" w:leftChars="0" w:firstLine="564"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进一步完善防洪影响评价章节内容;</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564" w:firstLineChars="200"/>
        <w:jc w:val="left"/>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回复：</w:t>
      </w:r>
      <w:r>
        <w:rPr>
          <w:rFonts w:hint="eastAsia" w:ascii="仿宋" w:hAnsi="仿宋" w:eastAsia="仿宋" w:cs="仿宋"/>
          <w:color w:val="auto"/>
          <w:sz w:val="28"/>
          <w:szCs w:val="28"/>
          <w:highlight w:val="none"/>
          <w:lang w:val="en-US" w:eastAsia="zh-CN"/>
        </w:rPr>
        <w:t>已在设计说明中增加防洪评价章节，具体防洪评价报告由第三方单位编制，已在概算中增加相关费用。</w:t>
      </w:r>
    </w:p>
    <w:p>
      <w:pPr>
        <w:keepNext w:val="0"/>
        <w:keepLines w:val="0"/>
        <w:pageBreakBefore w:val="0"/>
        <w:numPr>
          <w:ilvl w:val="0"/>
          <w:numId w:val="6"/>
        </w:numPr>
        <w:kinsoku/>
        <w:wordWrap/>
        <w:overflowPunct/>
        <w:topLinePunct w:val="0"/>
        <w:autoSpaceDE/>
        <w:autoSpaceDN/>
        <w:bidi w:val="0"/>
        <w:adjustRightInd/>
        <w:snapToGrid/>
        <w:spacing w:line="540" w:lineRule="exact"/>
        <w:ind w:left="0" w:leftChars="0" w:firstLine="564"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复核分部分项工程量及单价，论证工程造价的合理性。</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left="0" w:leftChars="0" w:firstLine="564"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回复：已复核修改分部分项工程量及单价，详见概算书。</w:t>
      </w:r>
    </w:p>
    <w:p>
      <w:pPr>
        <w:pStyle w:val="30"/>
        <w:keepNext w:val="0"/>
        <w:keepLines w:val="0"/>
        <w:pageBreakBefore w:val="0"/>
        <w:widowControl/>
        <w:kinsoku/>
        <w:wordWrap/>
        <w:overflowPunct/>
        <w:topLinePunct w:val="0"/>
        <w:autoSpaceDE/>
        <w:autoSpaceDN/>
        <w:bidi w:val="0"/>
        <w:adjustRightInd/>
        <w:snapToGrid/>
        <w:ind w:left="0" w:firstLine="564" w:firstLineChars="200"/>
        <w:jc w:val="center"/>
        <w:textAlignment w:val="auto"/>
        <w:rPr>
          <w:rFonts w:hint="eastAsia" w:ascii="仿宋" w:hAnsi="仿宋" w:eastAsia="仿宋" w:cs="仿宋"/>
          <w:sz w:val="28"/>
          <w:szCs w:val="28"/>
          <w:lang w:eastAsia="zh-CN"/>
        </w:rPr>
        <w:sectPr>
          <w:headerReference r:id="rId5" w:type="default"/>
          <w:footerReference r:id="rId6" w:type="default"/>
          <w:pgSz w:w="11906" w:h="16838"/>
          <w:pgMar w:top="1080" w:right="1440" w:bottom="1080" w:left="1440" w:header="851" w:footer="992" w:gutter="567"/>
          <w:pgBorders>
            <w:top w:val="none" w:sz="0" w:space="0"/>
            <w:left w:val="none" w:sz="0" w:space="0"/>
            <w:bottom w:val="none" w:sz="0" w:space="0"/>
            <w:right w:val="none" w:sz="0" w:space="0"/>
          </w:pgBorders>
          <w:pgNumType w:fmt="decimal" w:start="1"/>
          <w:cols w:space="425" w:num="1"/>
          <w:docGrid w:type="linesAndChars" w:linePitch="388" w:charSpace="526"/>
        </w:sectPr>
      </w:pPr>
    </w:p>
    <w:sdt>
      <w:sdtPr>
        <w:rPr>
          <w:rFonts w:hint="eastAsia" w:ascii="宋体" w:hAnsi="宋体" w:eastAsia="宋体" w:cs="宋体"/>
          <w:color w:val="auto"/>
          <w:kern w:val="2"/>
          <w:sz w:val="32"/>
          <w:szCs w:val="32"/>
          <w:lang w:val="en-US" w:eastAsia="zh-CN" w:bidi="ar-SA"/>
        </w:rPr>
        <w:id w:val="147470795"/>
        <w15:color w:val="DBDBDB"/>
        <w:docPartObj>
          <w:docPartGallery w:val="Table of Contents"/>
          <w:docPartUnique/>
        </w:docPartObj>
      </w:sdtPr>
      <w:sdtEndPr>
        <w:rPr>
          <w:rFonts w:hint="eastAsia" w:ascii="宋体" w:hAnsi="宋体" w:eastAsia="宋体" w:cs="宋体"/>
          <w:b/>
          <w:color w:val="auto"/>
          <w:kern w:val="2"/>
          <w:sz w:val="18"/>
          <w:szCs w:val="20"/>
          <w:lang w:val="en-US" w:eastAsia="zh-CN" w:bidi="ar-SA"/>
        </w:rPr>
      </w:sdtEndPr>
      <w:sdtContent>
        <w:p>
          <w:pPr>
            <w:keepNext w:val="0"/>
            <w:keepLines w:val="0"/>
            <w:pageBreakBefore w:val="0"/>
            <w:kinsoku/>
            <w:wordWrap/>
            <w:overflowPunct/>
            <w:topLinePunct w:val="0"/>
            <w:autoSpaceDE/>
            <w:autoSpaceDN/>
            <w:bidi w:val="0"/>
            <w:adjustRightInd/>
            <w:snapToGrid w:val="0"/>
            <w:spacing w:before="0" w:beforeLines="0" w:after="0" w:afterLines="0" w:line="240" w:lineRule="auto"/>
            <w:ind w:left="0" w:leftChars="0" w:right="0" w:rightChars="0" w:firstLine="0" w:firstLineChars="0"/>
            <w:jc w:val="center"/>
            <w:textAlignment w:val="auto"/>
            <w:rPr>
              <w:rFonts w:hint="eastAsia" w:ascii="宋体" w:hAnsi="宋体" w:eastAsia="宋体" w:cs="宋体"/>
              <w:color w:val="auto"/>
              <w:sz w:val="32"/>
              <w:szCs w:val="32"/>
            </w:rPr>
          </w:pPr>
          <w:r>
            <w:rPr>
              <w:rFonts w:hint="eastAsia" w:ascii="宋体" w:hAnsi="宋体" w:eastAsia="宋体" w:cs="宋体"/>
              <w:color w:val="auto"/>
              <w:sz w:val="32"/>
              <w:szCs w:val="32"/>
            </w:rPr>
            <w:t>目录</w:t>
          </w:r>
        </w:p>
        <w:p>
          <w:pPr>
            <w:pStyle w:val="24"/>
            <w:tabs>
              <w:tab w:val="right" w:leader="dot" w:pos="8459"/>
              <w:tab w:val="clear" w:pos="1260"/>
              <w:tab w:val="clear" w:pos="9889"/>
            </w:tabs>
          </w:pPr>
          <w:r>
            <w:rPr>
              <w:rFonts w:hint="eastAsia" w:ascii="宋体" w:hAnsi="宋体" w:eastAsia="宋体" w:cs="宋体"/>
              <w:color w:val="auto"/>
              <w:sz w:val="28"/>
              <w:szCs w:val="24"/>
            </w:rPr>
            <w:fldChar w:fldCharType="begin"/>
          </w:r>
          <w:r>
            <w:rPr>
              <w:rFonts w:hint="eastAsia" w:ascii="宋体" w:hAnsi="宋体" w:eastAsia="宋体" w:cs="宋体"/>
              <w:color w:val="auto"/>
              <w:sz w:val="28"/>
              <w:szCs w:val="24"/>
            </w:rPr>
            <w:instrText xml:space="preserve">TOC \o "1-2" \h \u </w:instrText>
          </w:r>
          <w:r>
            <w:rPr>
              <w:rFonts w:hint="eastAsia" w:ascii="宋体" w:hAnsi="宋体" w:eastAsia="宋体" w:cs="宋体"/>
              <w:color w:val="auto"/>
              <w:sz w:val="28"/>
              <w:szCs w:val="24"/>
            </w:rPr>
            <w:fldChar w:fldCharType="separate"/>
          </w: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_Toc23543 </w:instrText>
          </w:r>
          <w:r>
            <w:rPr>
              <w:rFonts w:hint="eastAsia" w:ascii="宋体" w:hAnsi="宋体" w:eastAsia="宋体" w:cs="宋体"/>
              <w:szCs w:val="24"/>
            </w:rPr>
            <w:fldChar w:fldCharType="separate"/>
          </w:r>
          <w:r>
            <w:rPr>
              <w:rFonts w:hint="default" w:ascii="宋体" w:hAnsi="宋体" w:eastAsia="宋体" w:cs="宋体"/>
              <w:bCs/>
              <w:i w:val="0"/>
              <w:lang w:val="en-US" w:eastAsia="zh-CN"/>
            </w:rPr>
            <w:t xml:space="preserve">第1章 </w:t>
          </w:r>
          <w:r>
            <w:rPr>
              <w:rFonts w:hint="eastAsia" w:cs="宋体"/>
              <w:szCs w:val="40"/>
            </w:rPr>
            <w:t>概述</w:t>
          </w:r>
          <w:r>
            <w:tab/>
          </w:r>
          <w:r>
            <w:fldChar w:fldCharType="begin"/>
          </w:r>
          <w:r>
            <w:instrText xml:space="preserve"> PAGEREF _Toc23543 \h </w:instrText>
          </w:r>
          <w:r>
            <w:fldChar w:fldCharType="separate"/>
          </w:r>
          <w:r>
            <w:t>1</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_Toc29151 </w:instrText>
          </w:r>
          <w:r>
            <w:rPr>
              <w:rFonts w:hint="eastAsia" w:ascii="宋体" w:hAnsi="宋体" w:eastAsia="宋体" w:cs="宋体"/>
              <w:szCs w:val="24"/>
            </w:rPr>
            <w:fldChar w:fldCharType="separate"/>
          </w:r>
          <w:r>
            <w:rPr>
              <w:rFonts w:hint="default" w:ascii="宋体" w:hAnsi="宋体" w:eastAsia="宋体" w:cs="宋体"/>
              <w:i w:val="0"/>
              <w:szCs w:val="28"/>
            </w:rPr>
            <w:t xml:space="preserve">1.1. </w:t>
          </w:r>
          <w:r>
            <w:rPr>
              <w:rFonts w:hint="eastAsia" w:cs="宋体" w:asciiTheme="minorEastAsia" w:hAnsiTheme="minorEastAsia" w:eastAsiaTheme="minorEastAsia"/>
              <w:szCs w:val="28"/>
            </w:rPr>
            <w:t>项目</w:t>
          </w:r>
          <w:r>
            <w:rPr>
              <w:rFonts w:cs="宋体" w:asciiTheme="minorEastAsia" w:hAnsiTheme="minorEastAsia" w:eastAsiaTheme="minorEastAsia"/>
              <w:szCs w:val="28"/>
            </w:rPr>
            <w:t>概况</w:t>
          </w:r>
          <w:r>
            <w:tab/>
          </w:r>
          <w:r>
            <w:fldChar w:fldCharType="begin"/>
          </w:r>
          <w:r>
            <w:instrText xml:space="preserve"> PAGEREF _Toc29151 \h </w:instrText>
          </w:r>
          <w:r>
            <w:fldChar w:fldCharType="separate"/>
          </w:r>
          <w:r>
            <w:t>1</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_Toc29742 </w:instrText>
          </w:r>
          <w:r>
            <w:rPr>
              <w:rFonts w:hint="eastAsia" w:ascii="宋体" w:hAnsi="宋体" w:eastAsia="宋体" w:cs="宋体"/>
              <w:szCs w:val="24"/>
            </w:rPr>
            <w:fldChar w:fldCharType="separate"/>
          </w:r>
          <w:r>
            <w:rPr>
              <w:rFonts w:hint="default" w:ascii="宋体" w:hAnsi="宋体" w:eastAsia="宋体" w:cs="宋体"/>
              <w:i w:val="0"/>
              <w:szCs w:val="28"/>
            </w:rPr>
            <w:t xml:space="preserve">1.2. </w:t>
          </w:r>
          <w:r>
            <w:rPr>
              <w:rFonts w:cs="宋体" w:asciiTheme="minorEastAsia" w:hAnsiTheme="minorEastAsia" w:eastAsiaTheme="minorEastAsia"/>
              <w:szCs w:val="28"/>
            </w:rPr>
            <w:t>编制依据</w:t>
          </w:r>
          <w:r>
            <w:tab/>
          </w:r>
          <w:r>
            <w:fldChar w:fldCharType="begin"/>
          </w:r>
          <w:r>
            <w:instrText xml:space="preserve"> PAGEREF _Toc29742 \h </w:instrText>
          </w:r>
          <w:r>
            <w:fldChar w:fldCharType="separate"/>
          </w:r>
          <w:r>
            <w:t>3</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_Toc23327 </w:instrText>
          </w:r>
          <w:r>
            <w:rPr>
              <w:rFonts w:hint="eastAsia" w:ascii="宋体" w:hAnsi="宋体" w:eastAsia="宋体" w:cs="宋体"/>
              <w:szCs w:val="24"/>
            </w:rPr>
            <w:fldChar w:fldCharType="separate"/>
          </w:r>
          <w:r>
            <w:rPr>
              <w:rFonts w:hint="default" w:ascii="宋体" w:hAnsi="宋体" w:eastAsia="宋体" w:cs="宋体"/>
              <w:i w:val="0"/>
              <w:szCs w:val="28"/>
            </w:rPr>
            <w:t xml:space="preserve">1.3. </w:t>
          </w:r>
          <w:r>
            <w:rPr>
              <w:rFonts w:hint="eastAsia" w:cs="宋体" w:asciiTheme="minorEastAsia" w:hAnsiTheme="minorEastAsia" w:eastAsiaTheme="minorEastAsia"/>
              <w:szCs w:val="28"/>
              <w:lang w:eastAsia="zh-CN"/>
            </w:rPr>
            <w:t>采用的标准及规范</w:t>
          </w:r>
          <w:r>
            <w:tab/>
          </w:r>
          <w:r>
            <w:fldChar w:fldCharType="begin"/>
          </w:r>
          <w:r>
            <w:instrText xml:space="preserve"> PAGEREF _Toc23327 \h </w:instrText>
          </w:r>
          <w:r>
            <w:fldChar w:fldCharType="separate"/>
          </w:r>
          <w:r>
            <w:t>4</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_Toc28385 </w:instrText>
          </w:r>
          <w:r>
            <w:rPr>
              <w:rFonts w:hint="eastAsia" w:ascii="宋体" w:hAnsi="宋体" w:eastAsia="宋体" w:cs="宋体"/>
              <w:szCs w:val="24"/>
            </w:rPr>
            <w:fldChar w:fldCharType="separate"/>
          </w:r>
          <w:r>
            <w:rPr>
              <w:rFonts w:hint="default" w:ascii="宋体" w:hAnsi="宋体" w:eastAsia="宋体" w:cs="宋体"/>
              <w:i w:val="0"/>
              <w:lang w:eastAsia="zh-CN"/>
            </w:rPr>
            <w:t xml:space="preserve">1.4. </w:t>
          </w:r>
          <w:r>
            <w:rPr>
              <w:rFonts w:hint="eastAsia" w:cs="Times New Roman" w:asciiTheme="minorEastAsia" w:hAnsiTheme="minorEastAsia"/>
              <w:szCs w:val="21"/>
              <w:highlight w:val="none"/>
              <w:lang w:eastAsia="zh-CN"/>
            </w:rPr>
            <w:t>主要结论和建议</w:t>
          </w:r>
          <w:r>
            <w:tab/>
          </w:r>
          <w:r>
            <w:fldChar w:fldCharType="begin"/>
          </w:r>
          <w:r>
            <w:instrText xml:space="preserve"> PAGEREF _Toc28385 \h </w:instrText>
          </w:r>
          <w:r>
            <w:fldChar w:fldCharType="separate"/>
          </w:r>
          <w:r>
            <w:t>5</w:t>
          </w:r>
          <w:r>
            <w:fldChar w:fldCharType="end"/>
          </w:r>
          <w:r>
            <w:rPr>
              <w:rFonts w:hint="eastAsia" w:ascii="宋体" w:hAnsi="宋体" w:eastAsia="宋体" w:cs="宋体"/>
              <w:color w:val="auto"/>
              <w:szCs w:val="24"/>
            </w:rPr>
            <w:fldChar w:fldCharType="end"/>
          </w:r>
        </w:p>
        <w:p>
          <w:pPr>
            <w:pStyle w:val="24"/>
            <w:tabs>
              <w:tab w:val="right" w:leader="dot" w:pos="8459"/>
              <w:tab w:val="clear" w:pos="1260"/>
              <w:tab w:val="clear" w:pos="988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_Toc25423 </w:instrText>
          </w:r>
          <w:r>
            <w:rPr>
              <w:rFonts w:hint="eastAsia" w:ascii="宋体" w:hAnsi="宋体" w:eastAsia="宋体" w:cs="宋体"/>
              <w:szCs w:val="24"/>
            </w:rPr>
            <w:fldChar w:fldCharType="separate"/>
          </w:r>
          <w:r>
            <w:rPr>
              <w:rFonts w:hint="default" w:ascii="宋体" w:hAnsi="宋体" w:eastAsia="宋体" w:cs="宋体"/>
              <w:bCs/>
              <w:i w:val="0"/>
              <w:szCs w:val="40"/>
            </w:rPr>
            <w:t xml:space="preserve">第2章 </w:t>
          </w:r>
          <w:r>
            <w:rPr>
              <w:rFonts w:hint="eastAsia"/>
              <w:highlight w:val="none"/>
              <w:lang w:eastAsia="zh-CN"/>
            </w:rPr>
            <w:t>城市概况及自然条件</w:t>
          </w:r>
          <w:r>
            <w:tab/>
          </w:r>
          <w:r>
            <w:fldChar w:fldCharType="begin"/>
          </w:r>
          <w:r>
            <w:instrText xml:space="preserve"> PAGEREF _Toc25423 \h </w:instrText>
          </w:r>
          <w:r>
            <w:fldChar w:fldCharType="separate"/>
          </w:r>
          <w:r>
            <w:t>7</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_Toc6804 </w:instrText>
          </w:r>
          <w:r>
            <w:rPr>
              <w:rFonts w:hint="eastAsia" w:ascii="宋体" w:hAnsi="宋体" w:eastAsia="宋体" w:cs="宋体"/>
              <w:szCs w:val="24"/>
            </w:rPr>
            <w:fldChar w:fldCharType="separate"/>
          </w:r>
          <w:r>
            <w:rPr>
              <w:rFonts w:hint="default" w:ascii="宋体" w:hAnsi="宋体" w:eastAsia="宋体" w:cs="宋体"/>
              <w:i w:val="0"/>
              <w:szCs w:val="28"/>
            </w:rPr>
            <w:t xml:space="preserve">2.1. </w:t>
          </w:r>
          <w:r>
            <w:rPr>
              <w:rFonts w:cs="宋体" w:asciiTheme="minorEastAsia" w:hAnsiTheme="minorEastAsia" w:eastAsiaTheme="minorEastAsia"/>
              <w:szCs w:val="28"/>
            </w:rPr>
            <w:t>地理位置</w:t>
          </w:r>
          <w:r>
            <w:tab/>
          </w:r>
          <w:r>
            <w:fldChar w:fldCharType="begin"/>
          </w:r>
          <w:r>
            <w:instrText xml:space="preserve"> PAGEREF _Toc6804 \h </w:instrText>
          </w:r>
          <w:r>
            <w:fldChar w:fldCharType="separate"/>
          </w:r>
          <w:r>
            <w:t>7</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_Toc3076 </w:instrText>
          </w:r>
          <w:r>
            <w:rPr>
              <w:rFonts w:hint="eastAsia" w:ascii="宋体" w:hAnsi="宋体" w:eastAsia="宋体" w:cs="宋体"/>
              <w:szCs w:val="24"/>
            </w:rPr>
            <w:fldChar w:fldCharType="separate"/>
          </w:r>
          <w:r>
            <w:rPr>
              <w:rFonts w:hint="default" w:ascii="宋体" w:hAnsi="宋体" w:eastAsia="宋体" w:cs="宋体"/>
              <w:i w:val="0"/>
              <w:szCs w:val="28"/>
            </w:rPr>
            <w:t xml:space="preserve">2.2. </w:t>
          </w:r>
          <w:r>
            <w:rPr>
              <w:rFonts w:cs="宋体" w:asciiTheme="minorEastAsia" w:hAnsiTheme="minorEastAsia" w:eastAsiaTheme="minorEastAsia"/>
              <w:szCs w:val="28"/>
            </w:rPr>
            <w:t>地形地貌</w:t>
          </w:r>
          <w:r>
            <w:tab/>
          </w:r>
          <w:r>
            <w:fldChar w:fldCharType="begin"/>
          </w:r>
          <w:r>
            <w:instrText xml:space="preserve"> PAGEREF _Toc3076 \h </w:instrText>
          </w:r>
          <w:r>
            <w:fldChar w:fldCharType="separate"/>
          </w:r>
          <w:r>
            <w:t>7</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_Toc13096 </w:instrText>
          </w:r>
          <w:r>
            <w:rPr>
              <w:rFonts w:hint="eastAsia" w:ascii="宋体" w:hAnsi="宋体" w:eastAsia="宋体" w:cs="宋体"/>
              <w:szCs w:val="24"/>
            </w:rPr>
            <w:fldChar w:fldCharType="separate"/>
          </w:r>
          <w:r>
            <w:rPr>
              <w:rFonts w:hint="default" w:ascii="宋体" w:hAnsi="宋体" w:eastAsia="宋体" w:cs="宋体"/>
              <w:i w:val="0"/>
              <w:szCs w:val="28"/>
            </w:rPr>
            <w:t xml:space="preserve">2.3. </w:t>
          </w:r>
          <w:r>
            <w:rPr>
              <w:rFonts w:cs="宋体" w:asciiTheme="minorEastAsia" w:hAnsiTheme="minorEastAsia" w:eastAsiaTheme="minorEastAsia"/>
              <w:szCs w:val="28"/>
            </w:rPr>
            <w:t>气候</w:t>
          </w:r>
          <w:r>
            <w:tab/>
          </w:r>
          <w:r>
            <w:fldChar w:fldCharType="begin"/>
          </w:r>
          <w:r>
            <w:instrText xml:space="preserve"> PAGEREF _Toc13096 \h </w:instrText>
          </w:r>
          <w:r>
            <w:fldChar w:fldCharType="separate"/>
          </w:r>
          <w:r>
            <w:t>8</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_Toc18384 </w:instrText>
          </w:r>
          <w:r>
            <w:rPr>
              <w:rFonts w:hint="eastAsia" w:ascii="宋体" w:hAnsi="宋体" w:eastAsia="宋体" w:cs="宋体"/>
              <w:szCs w:val="24"/>
            </w:rPr>
            <w:fldChar w:fldCharType="separate"/>
          </w:r>
          <w:r>
            <w:rPr>
              <w:rFonts w:hint="default" w:ascii="宋体" w:hAnsi="宋体" w:eastAsia="宋体" w:cs="宋体"/>
              <w:i w:val="0"/>
              <w:szCs w:val="28"/>
            </w:rPr>
            <w:t xml:space="preserve">2.4. </w:t>
          </w:r>
          <w:r>
            <w:rPr>
              <w:rFonts w:cs="宋体" w:asciiTheme="minorEastAsia" w:hAnsiTheme="minorEastAsia" w:eastAsiaTheme="minorEastAsia"/>
              <w:szCs w:val="28"/>
            </w:rPr>
            <w:t>水文</w:t>
          </w:r>
          <w:r>
            <w:tab/>
          </w:r>
          <w:r>
            <w:fldChar w:fldCharType="begin"/>
          </w:r>
          <w:r>
            <w:instrText xml:space="preserve"> PAGEREF _Toc18384 \h </w:instrText>
          </w:r>
          <w:r>
            <w:fldChar w:fldCharType="separate"/>
          </w:r>
          <w:r>
            <w:t>8</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_Toc13904 </w:instrText>
          </w:r>
          <w:r>
            <w:rPr>
              <w:rFonts w:hint="eastAsia" w:ascii="宋体" w:hAnsi="宋体" w:eastAsia="宋体" w:cs="宋体"/>
              <w:szCs w:val="24"/>
            </w:rPr>
            <w:fldChar w:fldCharType="separate"/>
          </w:r>
          <w:r>
            <w:rPr>
              <w:rFonts w:hint="default" w:ascii="宋体" w:hAnsi="宋体" w:eastAsia="宋体" w:cs="宋体"/>
              <w:i w:val="0"/>
              <w:szCs w:val="28"/>
            </w:rPr>
            <w:t xml:space="preserve">2.5. </w:t>
          </w:r>
          <w:r>
            <w:rPr>
              <w:rFonts w:cs="宋体" w:asciiTheme="minorEastAsia" w:hAnsiTheme="minorEastAsia" w:eastAsiaTheme="minorEastAsia"/>
              <w:szCs w:val="28"/>
            </w:rPr>
            <w:t>行政区划</w:t>
          </w:r>
          <w:r>
            <w:tab/>
          </w:r>
          <w:r>
            <w:fldChar w:fldCharType="begin"/>
          </w:r>
          <w:r>
            <w:instrText xml:space="preserve"> PAGEREF _Toc13904 \h </w:instrText>
          </w:r>
          <w:r>
            <w:fldChar w:fldCharType="separate"/>
          </w:r>
          <w:r>
            <w:t>9</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_Toc17755 </w:instrText>
          </w:r>
          <w:r>
            <w:rPr>
              <w:rFonts w:hint="eastAsia" w:ascii="宋体" w:hAnsi="宋体" w:eastAsia="宋体" w:cs="宋体"/>
              <w:szCs w:val="24"/>
            </w:rPr>
            <w:fldChar w:fldCharType="separate"/>
          </w:r>
          <w:r>
            <w:rPr>
              <w:rFonts w:hint="default" w:ascii="宋体" w:hAnsi="宋体" w:eastAsia="宋体" w:cs="宋体"/>
              <w:i w:val="0"/>
              <w:szCs w:val="28"/>
            </w:rPr>
            <w:t xml:space="preserve">2.6. </w:t>
          </w:r>
          <w:r>
            <w:rPr>
              <w:rFonts w:cs="宋体" w:asciiTheme="minorEastAsia" w:hAnsiTheme="minorEastAsia" w:eastAsiaTheme="minorEastAsia"/>
              <w:szCs w:val="28"/>
            </w:rPr>
            <w:t>从化区人口概况</w:t>
          </w:r>
          <w:r>
            <w:tab/>
          </w:r>
          <w:r>
            <w:fldChar w:fldCharType="begin"/>
          </w:r>
          <w:r>
            <w:instrText xml:space="preserve"> PAGEREF _Toc17755 \h </w:instrText>
          </w:r>
          <w:r>
            <w:fldChar w:fldCharType="separate"/>
          </w:r>
          <w:r>
            <w:t>9</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_Toc10442 </w:instrText>
          </w:r>
          <w:r>
            <w:rPr>
              <w:rFonts w:hint="eastAsia" w:ascii="宋体" w:hAnsi="宋体" w:eastAsia="宋体" w:cs="宋体"/>
              <w:szCs w:val="24"/>
            </w:rPr>
            <w:fldChar w:fldCharType="separate"/>
          </w:r>
          <w:r>
            <w:rPr>
              <w:rFonts w:hint="default" w:ascii="宋体" w:hAnsi="宋体" w:eastAsia="宋体" w:cs="宋体"/>
              <w:i w:val="0"/>
              <w:szCs w:val="22"/>
              <w:lang w:eastAsia="zh-CN"/>
            </w:rPr>
            <w:t xml:space="preserve">2.7. </w:t>
          </w:r>
          <w:r>
            <w:rPr>
              <w:rFonts w:hint="eastAsia" w:cs="Times New Roman" w:asciiTheme="minorEastAsia" w:hAnsiTheme="minorEastAsia" w:eastAsiaTheme="minorEastAsia"/>
              <w:szCs w:val="22"/>
              <w:highlight w:val="none"/>
              <w:lang w:eastAsia="zh-CN"/>
            </w:rPr>
            <w:t>江埔街概况</w:t>
          </w:r>
          <w:r>
            <w:tab/>
          </w:r>
          <w:r>
            <w:fldChar w:fldCharType="begin"/>
          </w:r>
          <w:r>
            <w:instrText xml:space="preserve"> PAGEREF _Toc10442 \h </w:instrText>
          </w:r>
          <w:r>
            <w:fldChar w:fldCharType="separate"/>
          </w:r>
          <w:r>
            <w:t>10</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_Toc11321 </w:instrText>
          </w:r>
          <w:r>
            <w:rPr>
              <w:rFonts w:hint="eastAsia" w:ascii="宋体" w:hAnsi="宋体" w:eastAsia="宋体" w:cs="宋体"/>
              <w:szCs w:val="24"/>
            </w:rPr>
            <w:fldChar w:fldCharType="separate"/>
          </w:r>
          <w:r>
            <w:rPr>
              <w:rFonts w:hint="default" w:ascii="宋体" w:hAnsi="宋体" w:eastAsia="宋体" w:cs="宋体"/>
              <w:i w:val="0"/>
              <w:szCs w:val="28"/>
              <w:lang w:val="en-US" w:eastAsia="zh-CN"/>
            </w:rPr>
            <w:t xml:space="preserve">2.8. </w:t>
          </w:r>
          <w:r>
            <w:rPr>
              <w:rFonts w:hint="eastAsia" w:cs="宋体" w:asciiTheme="minorEastAsia" w:hAnsiTheme="minorEastAsia" w:eastAsiaTheme="minorEastAsia"/>
              <w:szCs w:val="28"/>
              <w:lang w:val="en-US" w:eastAsia="zh-CN"/>
            </w:rPr>
            <w:t>用地现状</w:t>
          </w:r>
          <w:r>
            <w:tab/>
          </w:r>
          <w:r>
            <w:fldChar w:fldCharType="begin"/>
          </w:r>
          <w:r>
            <w:instrText xml:space="preserve"> PAGEREF _Toc11321 \h </w:instrText>
          </w:r>
          <w:r>
            <w:fldChar w:fldCharType="separate"/>
          </w:r>
          <w:r>
            <w:t>11</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_Toc14949 </w:instrText>
          </w:r>
          <w:r>
            <w:rPr>
              <w:rFonts w:hint="eastAsia" w:ascii="宋体" w:hAnsi="宋体" w:eastAsia="宋体" w:cs="宋体"/>
              <w:szCs w:val="24"/>
            </w:rPr>
            <w:fldChar w:fldCharType="separate"/>
          </w:r>
          <w:r>
            <w:rPr>
              <w:rFonts w:hint="default" w:ascii="宋体" w:hAnsi="宋体" w:eastAsia="宋体" w:cs="宋体"/>
              <w:i w:val="0"/>
              <w:szCs w:val="28"/>
              <w:lang w:val="en-US" w:eastAsia="zh-CN"/>
            </w:rPr>
            <w:t xml:space="preserve">2.9. </w:t>
          </w:r>
          <w:r>
            <w:rPr>
              <w:rFonts w:hint="eastAsia" w:cs="宋体" w:asciiTheme="minorEastAsia" w:hAnsiTheme="minorEastAsia" w:eastAsiaTheme="minorEastAsia"/>
              <w:szCs w:val="28"/>
              <w:lang w:val="en-US" w:eastAsia="zh-CN"/>
            </w:rPr>
            <w:t>建设条件</w:t>
          </w:r>
          <w:r>
            <w:tab/>
          </w:r>
          <w:r>
            <w:fldChar w:fldCharType="begin"/>
          </w:r>
          <w:r>
            <w:instrText xml:space="preserve"> PAGEREF _Toc14949 \h </w:instrText>
          </w:r>
          <w:r>
            <w:fldChar w:fldCharType="separate"/>
          </w:r>
          <w:r>
            <w:t>13</w:t>
          </w:r>
          <w:r>
            <w:fldChar w:fldCharType="end"/>
          </w:r>
          <w:r>
            <w:rPr>
              <w:rFonts w:hint="eastAsia" w:ascii="宋体" w:hAnsi="宋体" w:eastAsia="宋体" w:cs="宋体"/>
              <w:color w:val="auto"/>
              <w:szCs w:val="24"/>
            </w:rPr>
            <w:fldChar w:fldCharType="end"/>
          </w:r>
        </w:p>
        <w:p>
          <w:pPr>
            <w:pStyle w:val="24"/>
            <w:tabs>
              <w:tab w:val="right" w:leader="dot" w:pos="8459"/>
              <w:tab w:val="clear" w:pos="1260"/>
              <w:tab w:val="clear" w:pos="988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_Toc8548 </w:instrText>
          </w:r>
          <w:r>
            <w:rPr>
              <w:rFonts w:hint="eastAsia" w:ascii="宋体" w:hAnsi="宋体" w:eastAsia="宋体" w:cs="宋体"/>
              <w:szCs w:val="24"/>
            </w:rPr>
            <w:fldChar w:fldCharType="separate"/>
          </w:r>
          <w:r>
            <w:rPr>
              <w:rFonts w:hint="default" w:ascii="宋体" w:hAnsi="宋体" w:eastAsia="宋体" w:cs="宋体"/>
              <w:bCs/>
              <w:i w:val="0"/>
              <w:szCs w:val="40"/>
              <w:lang w:eastAsia="zh-CN"/>
            </w:rPr>
            <w:t xml:space="preserve">第3章 </w:t>
          </w:r>
          <w:r>
            <w:rPr>
              <w:rFonts w:hint="eastAsia" w:cs="宋体"/>
              <w:szCs w:val="40"/>
              <w:lang w:val="en-US" w:eastAsia="zh-CN"/>
            </w:rPr>
            <w:t>Y523片区排水现状及存在问题</w:t>
          </w:r>
          <w:r>
            <w:tab/>
          </w:r>
          <w:r>
            <w:fldChar w:fldCharType="begin"/>
          </w:r>
          <w:r>
            <w:instrText xml:space="preserve"> PAGEREF _Toc8548 \h </w:instrText>
          </w:r>
          <w:r>
            <w:fldChar w:fldCharType="separate"/>
          </w:r>
          <w:r>
            <w:t>14</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_Toc22656 </w:instrText>
          </w:r>
          <w:r>
            <w:rPr>
              <w:rFonts w:hint="eastAsia" w:ascii="宋体" w:hAnsi="宋体" w:eastAsia="宋体" w:cs="宋体"/>
              <w:szCs w:val="24"/>
            </w:rPr>
            <w:fldChar w:fldCharType="separate"/>
          </w:r>
          <w:r>
            <w:rPr>
              <w:rFonts w:hint="default" w:ascii="宋体" w:hAnsi="宋体" w:eastAsia="宋体" w:cs="宋体"/>
              <w:i w:val="0"/>
            </w:rPr>
            <w:t xml:space="preserve">3.1. </w:t>
          </w:r>
          <w:r>
            <w:rPr>
              <w:rFonts w:hint="eastAsia" w:cs="宋体" w:asciiTheme="minorEastAsia" w:hAnsiTheme="minorEastAsia" w:eastAsiaTheme="minorEastAsia"/>
              <w:szCs w:val="28"/>
              <w:lang w:eastAsia="zh-CN"/>
            </w:rPr>
            <w:t>Y523片区污水现状</w:t>
          </w:r>
          <w:r>
            <w:tab/>
          </w:r>
          <w:r>
            <w:fldChar w:fldCharType="begin"/>
          </w:r>
          <w:r>
            <w:instrText xml:space="preserve"> PAGEREF _Toc22656 \h </w:instrText>
          </w:r>
          <w:r>
            <w:fldChar w:fldCharType="separate"/>
          </w:r>
          <w:r>
            <w:t>14</w:t>
          </w:r>
          <w:r>
            <w:fldChar w:fldCharType="end"/>
          </w:r>
          <w:r>
            <w:rPr>
              <w:rFonts w:hint="eastAsia" w:ascii="宋体" w:hAnsi="宋体" w:eastAsia="宋体" w:cs="宋体"/>
              <w:color w:val="auto"/>
              <w:szCs w:val="24"/>
            </w:rPr>
            <w:fldChar w:fldCharType="end"/>
          </w:r>
        </w:p>
        <w:p>
          <w:pPr>
            <w:pStyle w:val="24"/>
            <w:tabs>
              <w:tab w:val="right" w:leader="dot" w:pos="8459"/>
              <w:tab w:val="clear" w:pos="1260"/>
              <w:tab w:val="clear" w:pos="988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_Toc25991 </w:instrText>
          </w:r>
          <w:r>
            <w:rPr>
              <w:rFonts w:hint="eastAsia" w:ascii="宋体" w:hAnsi="宋体" w:eastAsia="宋体" w:cs="宋体"/>
              <w:szCs w:val="24"/>
            </w:rPr>
            <w:fldChar w:fldCharType="separate"/>
          </w:r>
          <w:r>
            <w:rPr>
              <w:rFonts w:hint="default" w:ascii="宋体" w:hAnsi="宋体" w:eastAsia="宋体" w:cs="宋体"/>
              <w:bCs/>
              <w:i w:val="0"/>
              <w:szCs w:val="40"/>
            </w:rPr>
            <w:t xml:space="preserve">第4章 </w:t>
          </w:r>
          <w:r>
            <w:rPr>
              <w:rFonts w:hint="eastAsia" w:cs="宋体"/>
              <w:szCs w:val="40"/>
              <w:lang w:eastAsia="zh-CN"/>
            </w:rPr>
            <w:t>上位规划简介</w:t>
          </w:r>
          <w:r>
            <w:tab/>
          </w:r>
          <w:r>
            <w:fldChar w:fldCharType="begin"/>
          </w:r>
          <w:r>
            <w:instrText xml:space="preserve"> PAGEREF _Toc25991 \h </w:instrText>
          </w:r>
          <w:r>
            <w:fldChar w:fldCharType="separate"/>
          </w:r>
          <w:r>
            <w:t>24</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_Toc24665 </w:instrText>
          </w:r>
          <w:r>
            <w:rPr>
              <w:rFonts w:hint="eastAsia" w:ascii="宋体" w:hAnsi="宋体" w:eastAsia="宋体" w:cs="宋体"/>
              <w:szCs w:val="24"/>
            </w:rPr>
            <w:fldChar w:fldCharType="separate"/>
          </w:r>
          <w:r>
            <w:rPr>
              <w:rFonts w:hint="default" w:ascii="宋体" w:hAnsi="宋体" w:eastAsia="宋体" w:cs="宋体"/>
              <w:i w:val="0"/>
              <w:szCs w:val="28"/>
              <w:lang w:eastAsia="zh-CN"/>
            </w:rPr>
            <w:t xml:space="preserve">4.1. </w:t>
          </w:r>
          <w:r>
            <w:rPr>
              <w:rFonts w:hint="eastAsia" w:cs="宋体"/>
              <w:szCs w:val="28"/>
              <w:lang w:eastAsia="zh-CN"/>
            </w:rPr>
            <w:t>《广州市水务发展“十四五”规划》（</w:t>
          </w:r>
          <w:r>
            <w:rPr>
              <w:rFonts w:hint="eastAsia" w:cs="宋体"/>
              <w:szCs w:val="28"/>
              <w:lang w:val="en-US" w:eastAsia="zh-CN"/>
            </w:rPr>
            <w:t>2022年</w:t>
          </w:r>
          <w:r>
            <w:rPr>
              <w:rFonts w:hint="eastAsia" w:cs="宋体"/>
              <w:szCs w:val="28"/>
              <w:lang w:eastAsia="zh-CN"/>
            </w:rPr>
            <w:t>）</w:t>
          </w:r>
          <w:r>
            <w:tab/>
          </w:r>
          <w:r>
            <w:fldChar w:fldCharType="begin"/>
          </w:r>
          <w:r>
            <w:instrText xml:space="preserve"> PAGEREF _Toc24665 \h </w:instrText>
          </w:r>
          <w:r>
            <w:fldChar w:fldCharType="separate"/>
          </w:r>
          <w:r>
            <w:t>24</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_Toc30819 </w:instrText>
          </w:r>
          <w:r>
            <w:rPr>
              <w:rFonts w:hint="eastAsia" w:ascii="宋体" w:hAnsi="宋体" w:eastAsia="宋体" w:cs="宋体"/>
              <w:szCs w:val="24"/>
            </w:rPr>
            <w:fldChar w:fldCharType="separate"/>
          </w:r>
          <w:r>
            <w:rPr>
              <w:rFonts w:hint="default" w:ascii="宋体" w:hAnsi="宋体" w:eastAsia="宋体" w:cs="宋体"/>
              <w:i w:val="0"/>
              <w:szCs w:val="28"/>
            </w:rPr>
            <w:t xml:space="preserve">4.2. </w:t>
          </w:r>
          <w:r>
            <w:rPr>
              <w:rFonts w:hint="eastAsia" w:cs="宋体"/>
              <w:szCs w:val="28"/>
              <w:lang w:val="en-US" w:eastAsia="zh-CN"/>
            </w:rPr>
            <w:t>《广州市污水系统总体规划》（2021-2035）</w:t>
          </w:r>
          <w:r>
            <w:tab/>
          </w:r>
          <w:r>
            <w:fldChar w:fldCharType="begin"/>
          </w:r>
          <w:r>
            <w:instrText xml:space="preserve"> PAGEREF _Toc30819 \h </w:instrText>
          </w:r>
          <w:r>
            <w:fldChar w:fldCharType="separate"/>
          </w:r>
          <w:r>
            <w:t>29</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_Toc3128 </w:instrText>
          </w:r>
          <w:r>
            <w:rPr>
              <w:rFonts w:hint="eastAsia" w:ascii="宋体" w:hAnsi="宋体" w:eastAsia="宋体" w:cs="宋体"/>
              <w:szCs w:val="24"/>
            </w:rPr>
            <w:fldChar w:fldCharType="separate"/>
          </w:r>
          <w:r>
            <w:rPr>
              <w:rFonts w:hint="default" w:ascii="宋体" w:hAnsi="宋体" w:eastAsia="宋体" w:cs="宋体"/>
              <w:i w:val="0"/>
              <w:szCs w:val="28"/>
            </w:rPr>
            <w:t xml:space="preserve">4.3. </w:t>
          </w:r>
          <w:r>
            <w:rPr>
              <w:rFonts w:hint="eastAsia" w:cs="宋体"/>
              <w:szCs w:val="28"/>
              <w:lang w:val="en-US" w:eastAsia="zh-CN"/>
            </w:rPr>
            <w:t>《广州市雨水系统总体规划》（2021-2035）</w:t>
          </w:r>
          <w:r>
            <w:tab/>
          </w:r>
          <w:r>
            <w:fldChar w:fldCharType="begin"/>
          </w:r>
          <w:r>
            <w:instrText xml:space="preserve"> PAGEREF _Toc3128 \h </w:instrText>
          </w:r>
          <w:r>
            <w:fldChar w:fldCharType="separate"/>
          </w:r>
          <w:r>
            <w:t>32</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_Toc7307 </w:instrText>
          </w:r>
          <w:r>
            <w:rPr>
              <w:rFonts w:hint="eastAsia" w:ascii="宋体" w:hAnsi="宋体" w:eastAsia="宋体" w:cs="宋体"/>
              <w:szCs w:val="24"/>
            </w:rPr>
            <w:fldChar w:fldCharType="separate"/>
          </w:r>
          <w:r>
            <w:rPr>
              <w:rFonts w:hint="default" w:ascii="宋体" w:hAnsi="宋体" w:eastAsia="宋体" w:cs="宋体"/>
              <w:i w:val="0"/>
              <w:szCs w:val="28"/>
            </w:rPr>
            <w:t xml:space="preserve">4.4. </w:t>
          </w:r>
          <w:r>
            <w:rPr>
              <w:rFonts w:hint="eastAsia" w:cs="宋体"/>
              <w:szCs w:val="28"/>
              <w:lang w:eastAsia="zh-CN"/>
            </w:rPr>
            <w:t>《广州市从化区中心城区水务专项规划》（污水部分）（</w:t>
          </w:r>
          <w:r>
            <w:rPr>
              <w:rFonts w:hint="eastAsia" w:cs="宋体"/>
              <w:szCs w:val="28"/>
              <w:lang w:val="en-US" w:eastAsia="zh-CN"/>
            </w:rPr>
            <w:t>2018-2035</w:t>
          </w:r>
          <w:r>
            <w:rPr>
              <w:rFonts w:hint="eastAsia" w:cs="宋体"/>
              <w:szCs w:val="28"/>
              <w:lang w:eastAsia="zh-CN"/>
            </w:rPr>
            <w:t>）</w:t>
          </w:r>
          <w:r>
            <w:tab/>
          </w:r>
          <w:r>
            <w:fldChar w:fldCharType="begin"/>
          </w:r>
          <w:r>
            <w:instrText xml:space="preserve"> PAGEREF _Toc7307 \h </w:instrText>
          </w:r>
          <w:r>
            <w:fldChar w:fldCharType="separate"/>
          </w:r>
          <w:r>
            <w:t>35</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_Toc10504 </w:instrText>
          </w:r>
          <w:r>
            <w:rPr>
              <w:rFonts w:hint="eastAsia" w:ascii="宋体" w:hAnsi="宋体" w:eastAsia="宋体" w:cs="宋体"/>
              <w:szCs w:val="24"/>
            </w:rPr>
            <w:fldChar w:fldCharType="separate"/>
          </w:r>
          <w:r>
            <w:rPr>
              <w:rFonts w:hint="default" w:ascii="宋体" w:hAnsi="宋体" w:eastAsia="宋体" w:cs="宋体"/>
              <w:i w:val="0"/>
              <w:szCs w:val="28"/>
            </w:rPr>
            <w:t xml:space="preserve">4.5. </w:t>
          </w:r>
          <w:r>
            <w:rPr>
              <w:rFonts w:hint="eastAsia" w:cs="宋体"/>
              <w:szCs w:val="28"/>
              <w:lang w:eastAsia="zh-CN"/>
            </w:rPr>
            <w:t>《广州市从化区中心城区水务专项规划》（防洪排涝排水部分）（</w:t>
          </w:r>
          <w:r>
            <w:rPr>
              <w:rFonts w:hint="eastAsia" w:cs="宋体"/>
              <w:szCs w:val="28"/>
              <w:lang w:val="en-US" w:eastAsia="zh-CN"/>
            </w:rPr>
            <w:t>2018-2035</w:t>
          </w:r>
          <w:r>
            <w:rPr>
              <w:rFonts w:hint="eastAsia" w:cs="宋体"/>
              <w:szCs w:val="28"/>
              <w:lang w:eastAsia="zh-CN"/>
            </w:rPr>
            <w:t>）</w:t>
          </w:r>
          <w:r>
            <w:tab/>
          </w:r>
          <w:r>
            <w:fldChar w:fldCharType="begin"/>
          </w:r>
          <w:r>
            <w:instrText xml:space="preserve"> PAGEREF _Toc10504 \h </w:instrText>
          </w:r>
          <w:r>
            <w:fldChar w:fldCharType="separate"/>
          </w:r>
          <w:r>
            <w:t>40</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_Toc10337 </w:instrText>
          </w:r>
          <w:r>
            <w:rPr>
              <w:rFonts w:hint="eastAsia" w:ascii="宋体" w:hAnsi="宋体" w:eastAsia="宋体" w:cs="宋体"/>
              <w:szCs w:val="24"/>
            </w:rPr>
            <w:fldChar w:fldCharType="separate"/>
          </w:r>
          <w:r>
            <w:rPr>
              <w:rFonts w:hint="default" w:ascii="宋体" w:hAnsi="宋体" w:eastAsia="宋体" w:cs="宋体"/>
              <w:i w:val="0"/>
              <w:szCs w:val="28"/>
            </w:rPr>
            <w:t xml:space="preserve">4.6. </w:t>
          </w:r>
          <w:r>
            <w:rPr>
              <w:rFonts w:hint="eastAsia" w:cs="宋体"/>
              <w:szCs w:val="28"/>
              <w:lang w:eastAsia="zh-CN"/>
            </w:rPr>
            <w:t>《从化区污水专项规划》（</w:t>
          </w:r>
          <w:r>
            <w:rPr>
              <w:rFonts w:hint="eastAsia" w:cs="宋体"/>
              <w:szCs w:val="28"/>
              <w:lang w:val="en-US" w:eastAsia="zh-CN"/>
            </w:rPr>
            <w:t>2017-2035</w:t>
          </w:r>
          <w:r>
            <w:rPr>
              <w:rFonts w:hint="eastAsia" w:cs="宋体"/>
              <w:szCs w:val="28"/>
              <w:lang w:eastAsia="zh-CN"/>
            </w:rPr>
            <w:t>）</w:t>
          </w:r>
          <w:r>
            <w:tab/>
          </w:r>
          <w:r>
            <w:fldChar w:fldCharType="begin"/>
          </w:r>
          <w:r>
            <w:instrText xml:space="preserve"> PAGEREF _Toc10337 \h </w:instrText>
          </w:r>
          <w:r>
            <w:fldChar w:fldCharType="separate"/>
          </w:r>
          <w:r>
            <w:t>47</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_Toc25688 </w:instrText>
          </w:r>
          <w:r>
            <w:rPr>
              <w:rFonts w:hint="eastAsia" w:ascii="宋体" w:hAnsi="宋体" w:eastAsia="宋体" w:cs="宋体"/>
              <w:szCs w:val="24"/>
            </w:rPr>
            <w:fldChar w:fldCharType="separate"/>
          </w:r>
          <w:r>
            <w:rPr>
              <w:rFonts w:hint="default" w:ascii="宋体" w:hAnsi="宋体" w:eastAsia="宋体" w:cs="宋体"/>
              <w:i w:val="0"/>
              <w:szCs w:val="28"/>
              <w:lang w:eastAsia="zh-CN"/>
            </w:rPr>
            <w:t xml:space="preserve">4.7. </w:t>
          </w:r>
          <w:r>
            <w:rPr>
              <w:rFonts w:hint="eastAsia" w:cs="宋体"/>
              <w:szCs w:val="28"/>
              <w:lang w:val="en-US" w:eastAsia="zh-CN"/>
            </w:rPr>
            <w:t>《广州市从化区排水管网雨污分流改造工作实施方案（2022-2025）》（2023年2月）</w:t>
          </w:r>
          <w:r>
            <w:tab/>
          </w:r>
          <w:r>
            <w:fldChar w:fldCharType="begin"/>
          </w:r>
          <w:r>
            <w:instrText xml:space="preserve"> PAGEREF _Toc25688 \h </w:instrText>
          </w:r>
          <w:r>
            <w:fldChar w:fldCharType="separate"/>
          </w:r>
          <w:r>
            <w:t>51</w:t>
          </w:r>
          <w:r>
            <w:fldChar w:fldCharType="end"/>
          </w:r>
          <w:r>
            <w:rPr>
              <w:rFonts w:hint="eastAsia" w:ascii="宋体" w:hAnsi="宋体" w:eastAsia="宋体" w:cs="宋体"/>
              <w:color w:val="auto"/>
              <w:szCs w:val="24"/>
            </w:rPr>
            <w:fldChar w:fldCharType="end"/>
          </w:r>
        </w:p>
        <w:p>
          <w:pPr>
            <w:pStyle w:val="24"/>
            <w:tabs>
              <w:tab w:val="right" w:leader="dot" w:pos="8459"/>
              <w:tab w:val="clear" w:pos="1260"/>
              <w:tab w:val="clear" w:pos="988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_Toc18717 </w:instrText>
          </w:r>
          <w:r>
            <w:rPr>
              <w:rFonts w:hint="eastAsia" w:ascii="宋体" w:hAnsi="宋体" w:eastAsia="宋体" w:cs="宋体"/>
              <w:szCs w:val="24"/>
            </w:rPr>
            <w:fldChar w:fldCharType="separate"/>
          </w:r>
          <w:r>
            <w:rPr>
              <w:rFonts w:hint="default" w:ascii="宋体" w:hAnsi="宋体" w:eastAsia="宋体" w:cs="宋体"/>
              <w:bCs/>
              <w:i w:val="0"/>
              <w:szCs w:val="40"/>
              <w:lang w:eastAsia="zh-CN"/>
            </w:rPr>
            <w:t xml:space="preserve">第5章 </w:t>
          </w:r>
          <w:r>
            <w:rPr>
              <w:rFonts w:hint="eastAsia" w:cs="宋体"/>
              <w:szCs w:val="40"/>
              <w:lang w:eastAsia="zh-CN"/>
            </w:rPr>
            <w:t>项目设计方案</w:t>
          </w:r>
          <w:r>
            <w:tab/>
          </w:r>
          <w:r>
            <w:fldChar w:fldCharType="begin"/>
          </w:r>
          <w:r>
            <w:instrText xml:space="preserve"> PAGEREF _Toc18717 \h </w:instrText>
          </w:r>
          <w:r>
            <w:fldChar w:fldCharType="separate"/>
          </w:r>
          <w:r>
            <w:t>54</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_Toc15553 </w:instrText>
          </w:r>
          <w:r>
            <w:rPr>
              <w:rFonts w:hint="eastAsia" w:ascii="宋体" w:hAnsi="宋体" w:eastAsia="宋体" w:cs="宋体"/>
              <w:szCs w:val="24"/>
            </w:rPr>
            <w:fldChar w:fldCharType="separate"/>
          </w:r>
          <w:r>
            <w:rPr>
              <w:rFonts w:hint="default" w:ascii="宋体" w:hAnsi="宋体" w:eastAsia="宋体" w:cs="宋体"/>
              <w:i w:val="0"/>
              <w:szCs w:val="28"/>
            </w:rPr>
            <w:t xml:space="preserve">5.1. </w:t>
          </w:r>
          <w:r>
            <w:rPr>
              <w:rFonts w:hint="eastAsia" w:cs="宋体" w:asciiTheme="minorEastAsia" w:hAnsiTheme="minorEastAsia" w:eastAsiaTheme="minorEastAsia"/>
              <w:szCs w:val="28"/>
              <w:lang w:eastAsia="zh-CN"/>
            </w:rPr>
            <w:t>工程项目概况</w:t>
          </w:r>
          <w:r>
            <w:tab/>
          </w:r>
          <w:r>
            <w:fldChar w:fldCharType="begin"/>
          </w:r>
          <w:r>
            <w:instrText xml:space="preserve"> PAGEREF _Toc15553 \h </w:instrText>
          </w:r>
          <w:r>
            <w:fldChar w:fldCharType="separate"/>
          </w:r>
          <w:r>
            <w:t>54</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_Toc30768 </w:instrText>
          </w:r>
          <w:r>
            <w:rPr>
              <w:rFonts w:hint="eastAsia" w:ascii="宋体" w:hAnsi="宋体" w:eastAsia="宋体" w:cs="宋体"/>
              <w:szCs w:val="24"/>
            </w:rPr>
            <w:fldChar w:fldCharType="separate"/>
          </w:r>
          <w:r>
            <w:rPr>
              <w:rFonts w:hint="default" w:ascii="宋体" w:hAnsi="宋体" w:eastAsia="宋体" w:cs="宋体"/>
              <w:i w:val="0"/>
              <w:szCs w:val="28"/>
              <w:lang w:val="en-US" w:eastAsia="zh-CN"/>
            </w:rPr>
            <w:t xml:space="preserve">5.2. </w:t>
          </w:r>
          <w:r>
            <w:rPr>
              <w:rFonts w:hint="eastAsia" w:cs="宋体" w:asciiTheme="minorEastAsia" w:hAnsiTheme="minorEastAsia" w:eastAsiaTheme="minorEastAsia"/>
              <w:szCs w:val="28"/>
              <w:lang w:val="en-US" w:eastAsia="zh-CN"/>
            </w:rPr>
            <w:t>项目建设条件</w:t>
          </w:r>
          <w:r>
            <w:tab/>
          </w:r>
          <w:r>
            <w:fldChar w:fldCharType="begin"/>
          </w:r>
          <w:r>
            <w:instrText xml:space="preserve"> PAGEREF _Toc30768 \h </w:instrText>
          </w:r>
          <w:r>
            <w:fldChar w:fldCharType="separate"/>
          </w:r>
          <w:r>
            <w:t>58</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_Toc20030 </w:instrText>
          </w:r>
          <w:r>
            <w:rPr>
              <w:rFonts w:hint="eastAsia" w:ascii="宋体" w:hAnsi="宋体" w:eastAsia="宋体" w:cs="宋体"/>
              <w:szCs w:val="24"/>
            </w:rPr>
            <w:fldChar w:fldCharType="separate"/>
          </w:r>
          <w:r>
            <w:rPr>
              <w:rFonts w:hint="default" w:ascii="宋体" w:hAnsi="宋体" w:eastAsia="宋体" w:cs="宋体"/>
              <w:i w:val="0"/>
              <w:lang w:val="en-US" w:eastAsia="zh-CN"/>
            </w:rPr>
            <w:t xml:space="preserve">5.3. </w:t>
          </w:r>
          <w:r>
            <w:rPr>
              <w:rFonts w:hint="eastAsia"/>
              <w:lang w:val="en-US" w:eastAsia="zh-CN"/>
            </w:rPr>
            <w:t>污水管道方案</w:t>
          </w:r>
          <w:r>
            <w:tab/>
          </w:r>
          <w:r>
            <w:fldChar w:fldCharType="begin"/>
          </w:r>
          <w:r>
            <w:instrText xml:space="preserve"> PAGEREF _Toc20030 \h </w:instrText>
          </w:r>
          <w:r>
            <w:fldChar w:fldCharType="separate"/>
          </w:r>
          <w:r>
            <w:t>63</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_Toc4273 </w:instrText>
          </w:r>
          <w:r>
            <w:rPr>
              <w:rFonts w:hint="eastAsia" w:ascii="宋体" w:hAnsi="宋体" w:eastAsia="宋体" w:cs="宋体"/>
              <w:szCs w:val="24"/>
            </w:rPr>
            <w:fldChar w:fldCharType="separate"/>
          </w:r>
          <w:r>
            <w:rPr>
              <w:rFonts w:hint="default" w:ascii="宋体" w:hAnsi="宋体" w:eastAsia="宋体" w:cs="宋体"/>
              <w:i w:val="0"/>
              <w:lang w:val="en-US" w:eastAsia="zh-CN"/>
            </w:rPr>
            <w:t xml:space="preserve">5.4. </w:t>
          </w:r>
          <w:r>
            <w:rPr>
              <w:rFonts w:hint="eastAsia"/>
              <w:lang w:val="en-US" w:eastAsia="zh-CN"/>
            </w:rPr>
            <w:t>雨水管道方案</w:t>
          </w:r>
          <w:r>
            <w:tab/>
          </w:r>
          <w:r>
            <w:fldChar w:fldCharType="begin"/>
          </w:r>
          <w:r>
            <w:instrText xml:space="preserve"> PAGEREF _Toc4273 \h </w:instrText>
          </w:r>
          <w:r>
            <w:fldChar w:fldCharType="separate"/>
          </w:r>
          <w:r>
            <w:t>71</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_Toc8818 </w:instrText>
          </w:r>
          <w:r>
            <w:rPr>
              <w:rFonts w:hint="eastAsia" w:ascii="宋体" w:hAnsi="宋体" w:eastAsia="宋体" w:cs="宋体"/>
              <w:szCs w:val="24"/>
            </w:rPr>
            <w:fldChar w:fldCharType="separate"/>
          </w:r>
          <w:r>
            <w:rPr>
              <w:rFonts w:hint="default" w:ascii="宋体" w:hAnsi="宋体" w:eastAsia="宋体" w:cs="宋体"/>
              <w:i w:val="0"/>
              <w:szCs w:val="28"/>
            </w:rPr>
            <w:t xml:space="preserve">5.5. </w:t>
          </w:r>
          <w:r>
            <w:rPr>
              <w:rFonts w:hint="eastAsia" w:cs="宋体" w:asciiTheme="minorEastAsia" w:hAnsiTheme="minorEastAsia" w:eastAsiaTheme="minorEastAsia"/>
              <w:szCs w:val="28"/>
              <w:lang w:eastAsia="zh-CN"/>
            </w:rPr>
            <w:t>竖向设计</w:t>
          </w:r>
          <w:r>
            <w:tab/>
          </w:r>
          <w:r>
            <w:fldChar w:fldCharType="begin"/>
          </w:r>
          <w:r>
            <w:instrText xml:space="preserve"> PAGEREF _Toc8818 \h </w:instrText>
          </w:r>
          <w:r>
            <w:fldChar w:fldCharType="separate"/>
          </w:r>
          <w:r>
            <w:t>76</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_Toc11538 </w:instrText>
          </w:r>
          <w:r>
            <w:rPr>
              <w:rFonts w:hint="eastAsia" w:ascii="宋体" w:hAnsi="宋体" w:eastAsia="宋体" w:cs="宋体"/>
              <w:szCs w:val="24"/>
            </w:rPr>
            <w:fldChar w:fldCharType="separate"/>
          </w:r>
          <w:r>
            <w:rPr>
              <w:rFonts w:hint="default" w:ascii="宋体" w:hAnsi="宋体" w:eastAsia="宋体" w:cs="宋体"/>
              <w:i w:val="0"/>
              <w:szCs w:val="28"/>
            </w:rPr>
            <w:t xml:space="preserve">5.6. </w:t>
          </w:r>
          <w:r>
            <w:rPr>
              <w:rFonts w:hint="eastAsia" w:cs="宋体" w:asciiTheme="minorEastAsia" w:hAnsiTheme="minorEastAsia" w:eastAsiaTheme="minorEastAsia"/>
              <w:szCs w:val="28"/>
              <w:lang w:eastAsia="zh-CN"/>
            </w:rPr>
            <w:t>与周边雨污分流工作的衔接</w:t>
          </w:r>
          <w:r>
            <w:tab/>
          </w:r>
          <w:r>
            <w:fldChar w:fldCharType="begin"/>
          </w:r>
          <w:r>
            <w:instrText xml:space="preserve"> PAGEREF _Toc11538 \h </w:instrText>
          </w:r>
          <w:r>
            <w:fldChar w:fldCharType="separate"/>
          </w:r>
          <w:r>
            <w:t>79</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_Toc11252 </w:instrText>
          </w:r>
          <w:r>
            <w:rPr>
              <w:rFonts w:hint="eastAsia" w:ascii="宋体" w:hAnsi="宋体" w:eastAsia="宋体" w:cs="宋体"/>
              <w:szCs w:val="24"/>
            </w:rPr>
            <w:fldChar w:fldCharType="separate"/>
          </w:r>
          <w:r>
            <w:rPr>
              <w:rFonts w:hint="default" w:ascii="宋体" w:hAnsi="宋体" w:eastAsia="宋体" w:cs="宋体"/>
              <w:i w:val="0"/>
              <w:szCs w:val="28"/>
            </w:rPr>
            <w:t xml:space="preserve">5.7. </w:t>
          </w:r>
          <w:r>
            <w:rPr>
              <w:rFonts w:hint="eastAsia" w:cs="宋体" w:asciiTheme="minorEastAsia" w:hAnsiTheme="minorEastAsia" w:eastAsiaTheme="minorEastAsia"/>
              <w:szCs w:val="28"/>
              <w:lang w:eastAsia="zh-CN"/>
            </w:rPr>
            <w:t>排水单元内部改造</w:t>
          </w:r>
          <w:r>
            <w:tab/>
          </w:r>
          <w:r>
            <w:fldChar w:fldCharType="begin"/>
          </w:r>
          <w:r>
            <w:instrText xml:space="preserve"> PAGEREF _Toc11252 \h </w:instrText>
          </w:r>
          <w:r>
            <w:fldChar w:fldCharType="separate"/>
          </w:r>
          <w:r>
            <w:t>82</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_Toc30652 </w:instrText>
          </w:r>
          <w:r>
            <w:rPr>
              <w:rFonts w:hint="eastAsia" w:ascii="宋体" w:hAnsi="宋体" w:eastAsia="宋体" w:cs="宋体"/>
              <w:szCs w:val="24"/>
            </w:rPr>
            <w:fldChar w:fldCharType="separate"/>
          </w:r>
          <w:r>
            <w:rPr>
              <w:rFonts w:hint="default" w:ascii="宋体" w:hAnsi="宋体" w:eastAsia="宋体" w:cs="宋体"/>
              <w:i w:val="0"/>
              <w:szCs w:val="28"/>
              <w:lang w:val="en-US" w:eastAsia="zh-CN"/>
            </w:rPr>
            <w:t xml:space="preserve">5.8. </w:t>
          </w:r>
          <w:r>
            <w:rPr>
              <w:rFonts w:hint="eastAsia" w:cs="宋体" w:asciiTheme="minorEastAsia" w:hAnsiTheme="minorEastAsia" w:eastAsiaTheme="minorEastAsia"/>
              <w:szCs w:val="28"/>
              <w:lang w:val="en-US" w:eastAsia="zh-CN"/>
            </w:rPr>
            <w:t>管材及管道施工方法比选</w:t>
          </w:r>
          <w:r>
            <w:tab/>
          </w:r>
          <w:r>
            <w:fldChar w:fldCharType="begin"/>
          </w:r>
          <w:r>
            <w:instrText xml:space="preserve"> PAGEREF _Toc30652 \h </w:instrText>
          </w:r>
          <w:r>
            <w:fldChar w:fldCharType="separate"/>
          </w:r>
          <w:r>
            <w:t>86</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_Toc3345 </w:instrText>
          </w:r>
          <w:r>
            <w:rPr>
              <w:rFonts w:hint="eastAsia" w:ascii="宋体" w:hAnsi="宋体" w:eastAsia="宋体" w:cs="宋体"/>
              <w:szCs w:val="24"/>
            </w:rPr>
            <w:fldChar w:fldCharType="separate"/>
          </w:r>
          <w:r>
            <w:rPr>
              <w:rFonts w:hint="default" w:ascii="宋体" w:hAnsi="宋体" w:eastAsia="宋体" w:cs="宋体"/>
              <w:i w:val="0"/>
              <w:szCs w:val="28"/>
              <w:lang w:val="en-US" w:eastAsia="zh-CN"/>
            </w:rPr>
            <w:t xml:space="preserve">5.9. </w:t>
          </w:r>
          <w:r>
            <w:rPr>
              <w:rFonts w:hint="eastAsia" w:cs="宋体" w:asciiTheme="minorEastAsia" w:hAnsiTheme="minorEastAsia" w:eastAsiaTheme="minorEastAsia"/>
              <w:szCs w:val="28"/>
              <w:lang w:val="en-US" w:eastAsia="zh-CN"/>
            </w:rPr>
            <w:t>管坑支护</w:t>
          </w:r>
          <w:r>
            <w:tab/>
          </w:r>
          <w:r>
            <w:fldChar w:fldCharType="begin"/>
          </w:r>
          <w:r>
            <w:instrText xml:space="preserve"> PAGEREF _Toc3345 \h </w:instrText>
          </w:r>
          <w:r>
            <w:fldChar w:fldCharType="separate"/>
          </w:r>
          <w:r>
            <w:t>96</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_Toc11578 </w:instrText>
          </w:r>
          <w:r>
            <w:rPr>
              <w:rFonts w:hint="eastAsia" w:ascii="宋体" w:hAnsi="宋体" w:eastAsia="宋体" w:cs="宋体"/>
              <w:szCs w:val="24"/>
            </w:rPr>
            <w:fldChar w:fldCharType="separate"/>
          </w:r>
          <w:r>
            <w:rPr>
              <w:rFonts w:hint="default" w:ascii="宋体" w:hAnsi="宋体" w:eastAsia="宋体" w:cs="宋体"/>
              <w:i w:val="0"/>
              <w:szCs w:val="28"/>
              <w:lang w:val="en-US" w:eastAsia="zh-CN"/>
            </w:rPr>
            <w:t xml:space="preserve">5.10. </w:t>
          </w:r>
          <w:r>
            <w:rPr>
              <w:rFonts w:hint="eastAsia" w:cs="宋体" w:asciiTheme="minorEastAsia" w:hAnsiTheme="minorEastAsia" w:eastAsiaTheme="minorEastAsia"/>
              <w:szCs w:val="28"/>
              <w:lang w:val="en-US" w:eastAsia="zh-CN"/>
            </w:rPr>
            <w:t>房屋保护</w:t>
          </w:r>
          <w:r>
            <w:tab/>
          </w:r>
          <w:r>
            <w:fldChar w:fldCharType="begin"/>
          </w:r>
          <w:r>
            <w:instrText xml:space="preserve"> PAGEREF _Toc11578 \h </w:instrText>
          </w:r>
          <w:r>
            <w:fldChar w:fldCharType="separate"/>
          </w:r>
          <w:r>
            <w:t>98</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_Toc3505 </w:instrText>
          </w:r>
          <w:r>
            <w:rPr>
              <w:rFonts w:hint="eastAsia" w:ascii="宋体" w:hAnsi="宋体" w:eastAsia="宋体" w:cs="宋体"/>
              <w:szCs w:val="24"/>
            </w:rPr>
            <w:fldChar w:fldCharType="separate"/>
          </w:r>
          <w:r>
            <w:rPr>
              <w:rFonts w:hint="default" w:ascii="宋体" w:hAnsi="宋体" w:eastAsia="宋体" w:cs="宋体"/>
              <w:i w:val="0"/>
              <w:szCs w:val="28"/>
              <w:lang w:val="en-US" w:eastAsia="zh-CN"/>
            </w:rPr>
            <w:t xml:space="preserve">5.11. </w:t>
          </w:r>
          <w:r>
            <w:rPr>
              <w:rFonts w:hint="eastAsia" w:cs="宋体" w:asciiTheme="minorEastAsia" w:hAnsiTheme="minorEastAsia" w:eastAsiaTheme="minorEastAsia"/>
              <w:szCs w:val="28"/>
              <w:lang w:val="en-US" w:eastAsia="zh-CN"/>
            </w:rPr>
            <w:t>设计使用年限</w:t>
          </w:r>
          <w:r>
            <w:tab/>
          </w:r>
          <w:r>
            <w:fldChar w:fldCharType="begin"/>
          </w:r>
          <w:r>
            <w:instrText xml:space="preserve"> PAGEREF _Toc3505 \h </w:instrText>
          </w:r>
          <w:r>
            <w:fldChar w:fldCharType="separate"/>
          </w:r>
          <w:r>
            <w:t>99</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_Toc17699 </w:instrText>
          </w:r>
          <w:r>
            <w:rPr>
              <w:rFonts w:hint="eastAsia" w:ascii="宋体" w:hAnsi="宋体" w:eastAsia="宋体" w:cs="宋体"/>
              <w:szCs w:val="24"/>
            </w:rPr>
            <w:fldChar w:fldCharType="separate"/>
          </w:r>
          <w:r>
            <w:rPr>
              <w:rFonts w:hint="default" w:ascii="宋体" w:hAnsi="宋体" w:eastAsia="宋体" w:cs="宋体"/>
              <w:i w:val="0"/>
              <w:szCs w:val="28"/>
              <w:lang w:val="en-US" w:eastAsia="zh-CN"/>
            </w:rPr>
            <w:t xml:space="preserve">5.12. </w:t>
          </w:r>
          <w:r>
            <w:rPr>
              <w:rFonts w:hint="eastAsia" w:cs="宋体" w:asciiTheme="minorEastAsia" w:hAnsiTheme="minorEastAsia" w:eastAsiaTheme="minorEastAsia"/>
              <w:szCs w:val="28"/>
              <w:lang w:val="en-US" w:eastAsia="zh-CN"/>
            </w:rPr>
            <w:t>排水构筑物</w:t>
          </w:r>
          <w:r>
            <w:tab/>
          </w:r>
          <w:r>
            <w:fldChar w:fldCharType="begin"/>
          </w:r>
          <w:r>
            <w:instrText xml:space="preserve"> PAGEREF _Toc17699 \h </w:instrText>
          </w:r>
          <w:r>
            <w:fldChar w:fldCharType="separate"/>
          </w:r>
          <w:r>
            <w:t>99</w:t>
          </w:r>
          <w:r>
            <w:fldChar w:fldCharType="end"/>
          </w:r>
          <w:r>
            <w:rPr>
              <w:rFonts w:hint="eastAsia" w:ascii="宋体" w:hAnsi="宋体" w:eastAsia="宋体" w:cs="宋体"/>
              <w:color w:val="auto"/>
              <w:szCs w:val="24"/>
            </w:rPr>
            <w:fldChar w:fldCharType="end"/>
          </w:r>
        </w:p>
        <w:p>
          <w:pPr>
            <w:pStyle w:val="24"/>
            <w:tabs>
              <w:tab w:val="right" w:leader="dot" w:pos="8459"/>
              <w:tab w:val="clear" w:pos="1260"/>
              <w:tab w:val="clear" w:pos="988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_Toc314 </w:instrText>
          </w:r>
          <w:r>
            <w:rPr>
              <w:rFonts w:hint="eastAsia" w:ascii="宋体" w:hAnsi="宋体" w:eastAsia="宋体" w:cs="宋体"/>
              <w:szCs w:val="24"/>
            </w:rPr>
            <w:fldChar w:fldCharType="separate"/>
          </w:r>
          <w:r>
            <w:rPr>
              <w:rFonts w:hint="default" w:ascii="宋体" w:hAnsi="宋体" w:eastAsia="宋体" w:cs="宋体"/>
              <w:bCs/>
              <w:i w:val="0"/>
              <w:szCs w:val="40"/>
            </w:rPr>
            <w:t xml:space="preserve">第6章 </w:t>
          </w:r>
          <w:r>
            <w:rPr>
              <w:rFonts w:hint="eastAsia" w:cs="宋体"/>
              <w:szCs w:val="40"/>
              <w:lang w:eastAsia="zh-CN"/>
            </w:rPr>
            <w:t>主要工程量</w:t>
          </w:r>
          <w:r>
            <w:tab/>
          </w:r>
          <w:r>
            <w:fldChar w:fldCharType="begin"/>
          </w:r>
          <w:r>
            <w:instrText xml:space="preserve"> PAGEREF _Toc314 \h </w:instrText>
          </w:r>
          <w:r>
            <w:fldChar w:fldCharType="separate"/>
          </w:r>
          <w:r>
            <w:t>101</w:t>
          </w:r>
          <w:r>
            <w:fldChar w:fldCharType="end"/>
          </w:r>
          <w:r>
            <w:rPr>
              <w:rFonts w:hint="eastAsia" w:ascii="宋体" w:hAnsi="宋体" w:eastAsia="宋体" w:cs="宋体"/>
              <w:color w:val="auto"/>
              <w:szCs w:val="24"/>
            </w:rPr>
            <w:fldChar w:fldCharType="end"/>
          </w:r>
        </w:p>
        <w:p>
          <w:pPr>
            <w:pStyle w:val="24"/>
            <w:tabs>
              <w:tab w:val="right" w:leader="dot" w:pos="8459"/>
              <w:tab w:val="clear" w:pos="1260"/>
              <w:tab w:val="clear" w:pos="988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_Toc7903 </w:instrText>
          </w:r>
          <w:r>
            <w:rPr>
              <w:rFonts w:hint="eastAsia" w:ascii="宋体" w:hAnsi="宋体" w:eastAsia="宋体" w:cs="宋体"/>
              <w:szCs w:val="24"/>
            </w:rPr>
            <w:fldChar w:fldCharType="separate"/>
          </w:r>
          <w:r>
            <w:rPr>
              <w:rFonts w:hint="default" w:ascii="宋体" w:hAnsi="宋体" w:eastAsia="宋体" w:cs="宋体"/>
              <w:bCs/>
              <w:i w:val="0"/>
              <w:szCs w:val="40"/>
            </w:rPr>
            <w:t xml:space="preserve">第7章 </w:t>
          </w:r>
          <w:r>
            <w:rPr>
              <w:rFonts w:cs="宋体"/>
              <w:szCs w:val="40"/>
            </w:rPr>
            <w:t>道路开挖与修复、交通疏解</w:t>
          </w:r>
          <w:r>
            <w:tab/>
          </w:r>
          <w:r>
            <w:fldChar w:fldCharType="begin"/>
          </w:r>
          <w:r>
            <w:instrText xml:space="preserve"> PAGEREF _Toc7903 \h </w:instrText>
          </w:r>
          <w:r>
            <w:fldChar w:fldCharType="separate"/>
          </w:r>
          <w:r>
            <w:t>102</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_Toc9379 </w:instrText>
          </w:r>
          <w:r>
            <w:rPr>
              <w:rFonts w:hint="eastAsia" w:ascii="宋体" w:hAnsi="宋体" w:eastAsia="宋体" w:cs="宋体"/>
              <w:szCs w:val="24"/>
            </w:rPr>
            <w:fldChar w:fldCharType="separate"/>
          </w:r>
          <w:r>
            <w:rPr>
              <w:rFonts w:hint="default" w:ascii="宋体" w:hAnsi="宋体" w:eastAsia="宋体" w:cs="宋体"/>
              <w:i w:val="0"/>
              <w:szCs w:val="28"/>
            </w:rPr>
            <w:t xml:space="preserve">7.1. </w:t>
          </w:r>
          <w:r>
            <w:rPr>
              <w:rFonts w:cs="宋体" w:asciiTheme="minorEastAsia" w:hAnsiTheme="minorEastAsia" w:eastAsiaTheme="minorEastAsia"/>
              <w:szCs w:val="28"/>
            </w:rPr>
            <w:t>道路开挖与修复</w:t>
          </w:r>
          <w:r>
            <w:tab/>
          </w:r>
          <w:r>
            <w:fldChar w:fldCharType="begin"/>
          </w:r>
          <w:r>
            <w:instrText xml:space="preserve"> PAGEREF _Toc9379 \h </w:instrText>
          </w:r>
          <w:r>
            <w:fldChar w:fldCharType="separate"/>
          </w:r>
          <w:r>
            <w:t>102</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_Toc14835 </w:instrText>
          </w:r>
          <w:r>
            <w:rPr>
              <w:rFonts w:hint="eastAsia" w:ascii="宋体" w:hAnsi="宋体" w:eastAsia="宋体" w:cs="宋体"/>
              <w:szCs w:val="24"/>
            </w:rPr>
            <w:fldChar w:fldCharType="separate"/>
          </w:r>
          <w:r>
            <w:rPr>
              <w:rFonts w:hint="default" w:ascii="宋体" w:hAnsi="宋体" w:eastAsia="宋体" w:cs="宋体"/>
              <w:i w:val="0"/>
              <w:szCs w:val="28"/>
            </w:rPr>
            <w:t xml:space="preserve">7.2. </w:t>
          </w:r>
          <w:r>
            <w:rPr>
              <w:rFonts w:cs="宋体" w:asciiTheme="minorEastAsia" w:hAnsiTheme="minorEastAsia" w:eastAsiaTheme="minorEastAsia"/>
              <w:szCs w:val="28"/>
            </w:rPr>
            <w:t>施工排水措施</w:t>
          </w:r>
          <w:r>
            <w:tab/>
          </w:r>
          <w:r>
            <w:fldChar w:fldCharType="begin"/>
          </w:r>
          <w:r>
            <w:instrText xml:space="preserve"> PAGEREF _Toc14835 \h </w:instrText>
          </w:r>
          <w:r>
            <w:fldChar w:fldCharType="separate"/>
          </w:r>
          <w:r>
            <w:t>103</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_Toc32282 </w:instrText>
          </w:r>
          <w:r>
            <w:rPr>
              <w:rFonts w:hint="eastAsia" w:ascii="宋体" w:hAnsi="宋体" w:eastAsia="宋体" w:cs="宋体"/>
              <w:szCs w:val="24"/>
            </w:rPr>
            <w:fldChar w:fldCharType="separate"/>
          </w:r>
          <w:r>
            <w:rPr>
              <w:rFonts w:hint="default" w:ascii="宋体" w:hAnsi="宋体" w:eastAsia="宋体" w:cs="宋体"/>
              <w:i w:val="0"/>
              <w:szCs w:val="28"/>
            </w:rPr>
            <w:t xml:space="preserve">7.3. </w:t>
          </w:r>
          <w:r>
            <w:rPr>
              <w:rFonts w:cs="宋体" w:asciiTheme="minorEastAsia" w:hAnsiTheme="minorEastAsia" w:eastAsiaTheme="minorEastAsia"/>
              <w:szCs w:val="28"/>
            </w:rPr>
            <w:t>交通疏解设计</w:t>
          </w:r>
          <w:r>
            <w:tab/>
          </w:r>
          <w:r>
            <w:fldChar w:fldCharType="begin"/>
          </w:r>
          <w:r>
            <w:instrText xml:space="preserve"> PAGEREF _Toc32282 \h </w:instrText>
          </w:r>
          <w:r>
            <w:fldChar w:fldCharType="separate"/>
          </w:r>
          <w:r>
            <w:t>104</w:t>
          </w:r>
          <w:r>
            <w:fldChar w:fldCharType="end"/>
          </w:r>
          <w:r>
            <w:rPr>
              <w:rFonts w:hint="eastAsia" w:ascii="宋体" w:hAnsi="宋体" w:eastAsia="宋体" w:cs="宋体"/>
              <w:color w:val="auto"/>
              <w:szCs w:val="24"/>
            </w:rPr>
            <w:fldChar w:fldCharType="end"/>
          </w:r>
        </w:p>
        <w:p>
          <w:pPr>
            <w:pStyle w:val="24"/>
            <w:tabs>
              <w:tab w:val="right" w:leader="dot" w:pos="8459"/>
              <w:tab w:val="clear" w:pos="1260"/>
              <w:tab w:val="clear" w:pos="988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_Toc32142 </w:instrText>
          </w:r>
          <w:r>
            <w:rPr>
              <w:rFonts w:hint="eastAsia" w:ascii="宋体" w:hAnsi="宋体" w:eastAsia="宋体" w:cs="宋体"/>
              <w:szCs w:val="24"/>
            </w:rPr>
            <w:fldChar w:fldCharType="separate"/>
          </w:r>
          <w:r>
            <w:rPr>
              <w:rFonts w:hint="default" w:ascii="宋体" w:hAnsi="宋体" w:eastAsia="宋体" w:cs="宋体"/>
              <w:bCs/>
              <w:i w:val="0"/>
              <w:szCs w:val="40"/>
            </w:rPr>
            <w:t xml:space="preserve">第8章 </w:t>
          </w:r>
          <w:r>
            <w:rPr>
              <w:rFonts w:cs="宋体"/>
              <w:szCs w:val="40"/>
            </w:rPr>
            <w:t>环境保护</w:t>
          </w:r>
          <w:r>
            <w:tab/>
          </w:r>
          <w:r>
            <w:fldChar w:fldCharType="begin"/>
          </w:r>
          <w:r>
            <w:instrText xml:space="preserve"> PAGEREF _Toc32142 \h </w:instrText>
          </w:r>
          <w:r>
            <w:fldChar w:fldCharType="separate"/>
          </w:r>
          <w:r>
            <w:t>112</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_Toc21227 </w:instrText>
          </w:r>
          <w:r>
            <w:rPr>
              <w:rFonts w:hint="eastAsia" w:ascii="宋体" w:hAnsi="宋体" w:eastAsia="宋体" w:cs="宋体"/>
              <w:szCs w:val="24"/>
            </w:rPr>
            <w:fldChar w:fldCharType="separate"/>
          </w:r>
          <w:r>
            <w:rPr>
              <w:rFonts w:hint="default" w:ascii="宋体" w:hAnsi="宋体" w:eastAsia="宋体" w:cs="宋体"/>
              <w:bCs/>
              <w:i w:val="0"/>
            </w:rPr>
            <w:t xml:space="preserve">8.1. </w:t>
          </w:r>
          <w:r>
            <w:rPr>
              <w:rFonts w:hint="eastAsia" w:ascii="Times New Roman" w:hAnsi="Times New Roman" w:eastAsia="宋体" w:cs="Times New Roman"/>
              <w:bCs/>
            </w:rPr>
            <w:t>环境</w:t>
          </w:r>
          <w:r>
            <w:rPr>
              <w:rFonts w:hint="eastAsia" w:ascii="Times New Roman" w:hAnsi="Times New Roman" w:eastAsia="宋体" w:cs="Times New Roman"/>
              <w:bCs/>
              <w:lang w:eastAsia="zh-CN"/>
            </w:rPr>
            <w:t>敏感区分析</w:t>
          </w:r>
          <w:r>
            <w:tab/>
          </w:r>
          <w:r>
            <w:fldChar w:fldCharType="begin"/>
          </w:r>
          <w:r>
            <w:instrText xml:space="preserve"> PAGEREF _Toc21227 \h </w:instrText>
          </w:r>
          <w:r>
            <w:fldChar w:fldCharType="separate"/>
          </w:r>
          <w:r>
            <w:t>112</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_Toc29012 </w:instrText>
          </w:r>
          <w:r>
            <w:rPr>
              <w:rFonts w:hint="eastAsia" w:ascii="宋体" w:hAnsi="宋体" w:eastAsia="宋体" w:cs="宋体"/>
              <w:szCs w:val="24"/>
            </w:rPr>
            <w:fldChar w:fldCharType="separate"/>
          </w:r>
          <w:r>
            <w:rPr>
              <w:rFonts w:hint="default" w:ascii="宋体" w:hAnsi="宋体" w:eastAsia="宋体" w:cs="宋体"/>
              <w:bCs/>
              <w:i w:val="0"/>
              <w:szCs w:val="28"/>
            </w:rPr>
            <w:t xml:space="preserve">8.1.1. </w:t>
          </w:r>
          <w:r>
            <w:rPr>
              <w:rFonts w:hint="eastAsia" w:ascii="Times New Roman" w:hAnsi="Times New Roman" w:eastAsia="宋体" w:cs="Times New Roman"/>
              <w:bCs/>
              <w:szCs w:val="28"/>
              <w:lang w:eastAsia="zh-CN"/>
            </w:rPr>
            <w:t>饮用水源保护区</w:t>
          </w:r>
          <w:r>
            <w:tab/>
          </w:r>
          <w:r>
            <w:fldChar w:fldCharType="begin"/>
          </w:r>
          <w:r>
            <w:instrText xml:space="preserve"> PAGEREF _Toc29012 \h </w:instrText>
          </w:r>
          <w:r>
            <w:fldChar w:fldCharType="separate"/>
          </w:r>
          <w:r>
            <w:t>112</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_Toc11659 </w:instrText>
          </w:r>
          <w:r>
            <w:rPr>
              <w:rFonts w:hint="eastAsia" w:ascii="宋体" w:hAnsi="宋体" w:eastAsia="宋体" w:cs="宋体"/>
              <w:szCs w:val="24"/>
            </w:rPr>
            <w:fldChar w:fldCharType="separate"/>
          </w:r>
          <w:r>
            <w:rPr>
              <w:rFonts w:hint="default" w:ascii="宋体" w:hAnsi="宋体" w:eastAsia="宋体" w:cs="宋体"/>
              <w:bCs/>
              <w:i w:val="0"/>
              <w:szCs w:val="28"/>
              <w:lang w:eastAsia="zh-CN"/>
            </w:rPr>
            <w:t xml:space="preserve">8.1.2. </w:t>
          </w:r>
          <w:r>
            <w:rPr>
              <w:rFonts w:hint="eastAsia" w:ascii="Times New Roman" w:hAnsi="Times New Roman" w:eastAsia="宋体" w:cs="Times New Roman"/>
              <w:bCs/>
              <w:szCs w:val="28"/>
              <w:lang w:eastAsia="zh-CN"/>
            </w:rPr>
            <w:t>环境空间管控区</w:t>
          </w:r>
          <w:r>
            <w:tab/>
          </w:r>
          <w:r>
            <w:fldChar w:fldCharType="begin"/>
          </w:r>
          <w:r>
            <w:instrText xml:space="preserve"> PAGEREF _Toc11659 \h </w:instrText>
          </w:r>
          <w:r>
            <w:fldChar w:fldCharType="separate"/>
          </w:r>
          <w:r>
            <w:t>113</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_Toc6596 </w:instrText>
          </w:r>
          <w:r>
            <w:rPr>
              <w:rFonts w:hint="eastAsia" w:ascii="宋体" w:hAnsi="宋体" w:eastAsia="宋体" w:cs="宋体"/>
              <w:szCs w:val="24"/>
            </w:rPr>
            <w:fldChar w:fldCharType="separate"/>
          </w:r>
          <w:r>
            <w:rPr>
              <w:rFonts w:hint="default" w:ascii="宋体" w:hAnsi="宋体" w:eastAsia="宋体" w:cs="宋体"/>
              <w:bCs/>
              <w:i w:val="0"/>
              <w:szCs w:val="28"/>
              <w:lang w:eastAsia="zh-CN"/>
            </w:rPr>
            <w:t xml:space="preserve">8.1.3. </w:t>
          </w:r>
          <w:r>
            <w:rPr>
              <w:rFonts w:hint="eastAsia" w:ascii="Times New Roman" w:hAnsi="Times New Roman" w:eastAsia="宋体" w:cs="Times New Roman"/>
              <w:bCs/>
              <w:szCs w:val="28"/>
              <w:lang w:eastAsia="zh-CN"/>
            </w:rPr>
            <w:t>生态保护红线区</w:t>
          </w:r>
          <w:r>
            <w:tab/>
          </w:r>
          <w:r>
            <w:fldChar w:fldCharType="begin"/>
          </w:r>
          <w:r>
            <w:instrText xml:space="preserve"> PAGEREF _Toc6596 \h </w:instrText>
          </w:r>
          <w:r>
            <w:fldChar w:fldCharType="separate"/>
          </w:r>
          <w:r>
            <w:t>114</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_Toc31978 </w:instrText>
          </w:r>
          <w:r>
            <w:rPr>
              <w:rFonts w:hint="eastAsia" w:ascii="宋体" w:hAnsi="宋体" w:eastAsia="宋体" w:cs="宋体"/>
              <w:szCs w:val="24"/>
            </w:rPr>
            <w:fldChar w:fldCharType="separate"/>
          </w:r>
          <w:r>
            <w:rPr>
              <w:rFonts w:hint="default" w:ascii="宋体" w:hAnsi="宋体" w:eastAsia="宋体" w:cs="宋体"/>
              <w:bCs/>
              <w:i w:val="0"/>
              <w:szCs w:val="28"/>
              <w:lang w:eastAsia="zh-CN"/>
            </w:rPr>
            <w:t xml:space="preserve">8.1.4. </w:t>
          </w:r>
          <w:r>
            <w:rPr>
              <w:rFonts w:hint="eastAsia" w:ascii="Times New Roman" w:hAnsi="Times New Roman" w:eastAsia="宋体" w:cs="Times New Roman"/>
              <w:bCs/>
              <w:szCs w:val="28"/>
              <w:lang w:val="en-US" w:eastAsia="zh-CN"/>
            </w:rPr>
            <w:t>大气环境管控</w:t>
          </w:r>
          <w:r>
            <w:rPr>
              <w:rFonts w:hint="eastAsia" w:ascii="Times New Roman" w:hAnsi="Times New Roman" w:eastAsia="宋体" w:cs="Times New Roman"/>
              <w:bCs/>
              <w:szCs w:val="28"/>
              <w:lang w:eastAsia="zh-CN"/>
            </w:rPr>
            <w:t>区</w:t>
          </w:r>
          <w:r>
            <w:tab/>
          </w:r>
          <w:r>
            <w:fldChar w:fldCharType="begin"/>
          </w:r>
          <w:r>
            <w:instrText xml:space="preserve"> PAGEREF _Toc31978 \h </w:instrText>
          </w:r>
          <w:r>
            <w:fldChar w:fldCharType="separate"/>
          </w:r>
          <w:r>
            <w:t>115</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_Toc31928 </w:instrText>
          </w:r>
          <w:r>
            <w:rPr>
              <w:rFonts w:hint="eastAsia" w:ascii="宋体" w:hAnsi="宋体" w:eastAsia="宋体" w:cs="宋体"/>
              <w:szCs w:val="24"/>
            </w:rPr>
            <w:fldChar w:fldCharType="separate"/>
          </w:r>
          <w:r>
            <w:rPr>
              <w:rFonts w:hint="default" w:ascii="宋体" w:hAnsi="宋体" w:eastAsia="宋体" w:cs="宋体"/>
              <w:i w:val="0"/>
              <w:szCs w:val="28"/>
            </w:rPr>
            <w:t xml:space="preserve">8.2. </w:t>
          </w:r>
          <w:r>
            <w:rPr>
              <w:rFonts w:cs="宋体"/>
              <w:szCs w:val="28"/>
            </w:rPr>
            <w:t>自然环境</w:t>
          </w:r>
          <w:r>
            <w:tab/>
          </w:r>
          <w:r>
            <w:fldChar w:fldCharType="begin"/>
          </w:r>
          <w:r>
            <w:instrText xml:space="preserve"> PAGEREF _Toc31928 \h </w:instrText>
          </w:r>
          <w:r>
            <w:fldChar w:fldCharType="separate"/>
          </w:r>
          <w:r>
            <w:t>116</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_Toc24448 </w:instrText>
          </w:r>
          <w:r>
            <w:rPr>
              <w:rFonts w:hint="eastAsia" w:ascii="宋体" w:hAnsi="宋体" w:eastAsia="宋体" w:cs="宋体"/>
              <w:szCs w:val="24"/>
            </w:rPr>
            <w:fldChar w:fldCharType="separate"/>
          </w:r>
          <w:r>
            <w:rPr>
              <w:rFonts w:hint="default" w:ascii="宋体" w:hAnsi="宋体" w:eastAsia="宋体" w:cs="宋体"/>
              <w:i w:val="0"/>
              <w:szCs w:val="28"/>
            </w:rPr>
            <w:t xml:space="preserve">8.3. </w:t>
          </w:r>
          <w:r>
            <w:rPr>
              <w:rFonts w:cs="宋体" w:asciiTheme="minorEastAsia" w:hAnsiTheme="minorEastAsia" w:eastAsiaTheme="minorEastAsia"/>
              <w:szCs w:val="28"/>
            </w:rPr>
            <w:t>环境影响分析</w:t>
          </w:r>
          <w:r>
            <w:tab/>
          </w:r>
          <w:r>
            <w:fldChar w:fldCharType="begin"/>
          </w:r>
          <w:r>
            <w:instrText xml:space="preserve"> PAGEREF _Toc24448 \h </w:instrText>
          </w:r>
          <w:r>
            <w:fldChar w:fldCharType="separate"/>
          </w:r>
          <w:r>
            <w:t>116</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_Toc14012 </w:instrText>
          </w:r>
          <w:r>
            <w:rPr>
              <w:rFonts w:hint="eastAsia" w:ascii="宋体" w:hAnsi="宋体" w:eastAsia="宋体" w:cs="宋体"/>
              <w:szCs w:val="24"/>
            </w:rPr>
            <w:fldChar w:fldCharType="separate"/>
          </w:r>
          <w:r>
            <w:rPr>
              <w:rFonts w:hint="default" w:ascii="宋体" w:hAnsi="宋体" w:eastAsia="宋体" w:cs="宋体"/>
              <w:i w:val="0"/>
              <w:szCs w:val="28"/>
            </w:rPr>
            <w:t xml:space="preserve">8.4. </w:t>
          </w:r>
          <w:r>
            <w:rPr>
              <w:rFonts w:cs="宋体" w:asciiTheme="minorEastAsia" w:hAnsiTheme="minorEastAsia" w:eastAsiaTheme="minorEastAsia"/>
              <w:szCs w:val="28"/>
            </w:rPr>
            <w:t>环境保护措施</w:t>
          </w:r>
          <w:r>
            <w:tab/>
          </w:r>
          <w:r>
            <w:fldChar w:fldCharType="begin"/>
          </w:r>
          <w:r>
            <w:instrText xml:space="preserve"> PAGEREF _Toc14012 \h </w:instrText>
          </w:r>
          <w:r>
            <w:fldChar w:fldCharType="separate"/>
          </w:r>
          <w:r>
            <w:t>119</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_Toc32699 </w:instrText>
          </w:r>
          <w:r>
            <w:rPr>
              <w:rFonts w:hint="eastAsia" w:ascii="宋体" w:hAnsi="宋体" w:eastAsia="宋体" w:cs="宋体"/>
              <w:szCs w:val="24"/>
            </w:rPr>
            <w:fldChar w:fldCharType="separate"/>
          </w:r>
          <w:r>
            <w:rPr>
              <w:rFonts w:hint="default" w:ascii="宋体" w:hAnsi="宋体" w:eastAsia="宋体" w:cs="宋体"/>
              <w:i w:val="0"/>
              <w:szCs w:val="28"/>
            </w:rPr>
            <w:t xml:space="preserve">8.5. </w:t>
          </w:r>
          <w:r>
            <w:rPr>
              <w:rFonts w:cs="宋体" w:asciiTheme="minorEastAsia" w:hAnsiTheme="minorEastAsia" w:eastAsiaTheme="minorEastAsia"/>
              <w:szCs w:val="28"/>
            </w:rPr>
            <w:t>环境保护措施</w:t>
          </w:r>
          <w:r>
            <w:tab/>
          </w:r>
          <w:r>
            <w:fldChar w:fldCharType="begin"/>
          </w:r>
          <w:r>
            <w:instrText xml:space="preserve"> PAGEREF _Toc32699 \h </w:instrText>
          </w:r>
          <w:r>
            <w:fldChar w:fldCharType="separate"/>
          </w:r>
          <w:r>
            <w:t>120</w:t>
          </w:r>
          <w:r>
            <w:fldChar w:fldCharType="end"/>
          </w:r>
          <w:r>
            <w:rPr>
              <w:rFonts w:hint="eastAsia" w:ascii="宋体" w:hAnsi="宋体" w:eastAsia="宋体" w:cs="宋体"/>
              <w:color w:val="auto"/>
              <w:szCs w:val="24"/>
            </w:rPr>
            <w:fldChar w:fldCharType="end"/>
          </w:r>
        </w:p>
        <w:p>
          <w:pPr>
            <w:pStyle w:val="24"/>
            <w:tabs>
              <w:tab w:val="right" w:leader="dot" w:pos="8459"/>
              <w:tab w:val="clear" w:pos="1260"/>
              <w:tab w:val="clear" w:pos="988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_Toc4184 </w:instrText>
          </w:r>
          <w:r>
            <w:rPr>
              <w:rFonts w:hint="eastAsia" w:ascii="宋体" w:hAnsi="宋体" w:eastAsia="宋体" w:cs="宋体"/>
              <w:szCs w:val="24"/>
            </w:rPr>
            <w:fldChar w:fldCharType="separate"/>
          </w:r>
          <w:r>
            <w:rPr>
              <w:rFonts w:hint="default" w:ascii="宋体" w:hAnsi="宋体" w:eastAsia="宋体" w:cs="宋体"/>
              <w:bCs/>
              <w:i w:val="0"/>
            </w:rPr>
            <w:t xml:space="preserve">第9章 </w:t>
          </w:r>
          <w:r>
            <w:rPr>
              <w:rFonts w:cs="宋体"/>
            </w:rPr>
            <w:t>劳动保护</w:t>
          </w:r>
          <w:r>
            <w:rPr>
              <w:rFonts w:hint="eastAsia"/>
              <w:highlight w:val="none"/>
              <w:lang w:eastAsia="zh-CN"/>
            </w:rPr>
            <w:t>、职业安全与卫生</w:t>
          </w:r>
          <w:r>
            <w:tab/>
          </w:r>
          <w:r>
            <w:fldChar w:fldCharType="begin"/>
          </w:r>
          <w:r>
            <w:instrText xml:space="preserve"> PAGEREF _Toc4184 \h </w:instrText>
          </w:r>
          <w:r>
            <w:fldChar w:fldCharType="separate"/>
          </w:r>
          <w:r>
            <w:t>123</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_Toc21668 </w:instrText>
          </w:r>
          <w:r>
            <w:rPr>
              <w:rFonts w:hint="eastAsia" w:ascii="宋体" w:hAnsi="宋体" w:eastAsia="宋体" w:cs="宋体"/>
              <w:szCs w:val="24"/>
            </w:rPr>
            <w:fldChar w:fldCharType="separate"/>
          </w:r>
          <w:r>
            <w:rPr>
              <w:rFonts w:hint="default" w:ascii="宋体" w:hAnsi="宋体" w:eastAsia="宋体" w:cs="宋体"/>
              <w:i w:val="0"/>
              <w:szCs w:val="28"/>
            </w:rPr>
            <w:t xml:space="preserve">9.1. </w:t>
          </w:r>
          <w:r>
            <w:rPr>
              <w:rFonts w:cs="宋体" w:asciiTheme="minorEastAsia" w:hAnsiTheme="minorEastAsia" w:eastAsiaTheme="minorEastAsia"/>
              <w:szCs w:val="28"/>
            </w:rPr>
            <w:t>劳动保护及卫生安全</w:t>
          </w:r>
          <w:r>
            <w:tab/>
          </w:r>
          <w:r>
            <w:fldChar w:fldCharType="begin"/>
          </w:r>
          <w:r>
            <w:instrText xml:space="preserve"> PAGEREF _Toc21668 \h </w:instrText>
          </w:r>
          <w:r>
            <w:fldChar w:fldCharType="separate"/>
          </w:r>
          <w:r>
            <w:t>123</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_Toc14982 </w:instrText>
          </w:r>
          <w:r>
            <w:rPr>
              <w:rFonts w:hint="eastAsia" w:ascii="宋体" w:hAnsi="宋体" w:eastAsia="宋体" w:cs="宋体"/>
              <w:szCs w:val="24"/>
            </w:rPr>
            <w:fldChar w:fldCharType="separate"/>
          </w:r>
          <w:r>
            <w:rPr>
              <w:rFonts w:hint="default" w:ascii="宋体" w:hAnsi="宋体" w:eastAsia="宋体" w:cs="宋体"/>
              <w:i w:val="0"/>
              <w:szCs w:val="28"/>
              <w:lang w:val="en-US" w:eastAsia="zh-CN"/>
            </w:rPr>
            <w:t xml:space="preserve">9.2. </w:t>
          </w:r>
          <w:r>
            <w:rPr>
              <w:rFonts w:hint="eastAsia" w:cs="宋体" w:asciiTheme="minorEastAsia" w:hAnsiTheme="minorEastAsia" w:eastAsiaTheme="minorEastAsia"/>
              <w:szCs w:val="28"/>
              <w:lang w:val="en-US" w:eastAsia="zh-CN"/>
            </w:rPr>
            <w:t>安全施工</w:t>
          </w:r>
          <w:r>
            <w:tab/>
          </w:r>
          <w:r>
            <w:fldChar w:fldCharType="begin"/>
          </w:r>
          <w:r>
            <w:instrText xml:space="preserve"> PAGEREF _Toc14982 \h </w:instrText>
          </w:r>
          <w:r>
            <w:fldChar w:fldCharType="separate"/>
          </w:r>
          <w:r>
            <w:t>124</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_Toc28928 </w:instrText>
          </w:r>
          <w:r>
            <w:rPr>
              <w:rFonts w:hint="eastAsia" w:ascii="宋体" w:hAnsi="宋体" w:eastAsia="宋体" w:cs="宋体"/>
              <w:szCs w:val="24"/>
            </w:rPr>
            <w:fldChar w:fldCharType="separate"/>
          </w:r>
          <w:r>
            <w:rPr>
              <w:rFonts w:hint="default" w:ascii="宋体" w:hAnsi="宋体" w:eastAsia="宋体" w:cs="宋体"/>
              <w:i w:val="0"/>
              <w:szCs w:val="28"/>
            </w:rPr>
            <w:t xml:space="preserve">9.3. </w:t>
          </w:r>
          <w:r>
            <w:rPr>
              <w:rFonts w:hint="eastAsia" w:cs="宋体" w:asciiTheme="minorEastAsia" w:hAnsiTheme="minorEastAsia" w:eastAsiaTheme="minorEastAsia"/>
              <w:szCs w:val="28"/>
              <w:lang w:eastAsia="zh-CN"/>
            </w:rPr>
            <w:t>施工管理</w:t>
          </w:r>
          <w:r>
            <w:rPr>
              <w:rFonts w:cs="宋体" w:asciiTheme="minorEastAsia" w:hAnsiTheme="minorEastAsia" w:eastAsiaTheme="minorEastAsia"/>
              <w:szCs w:val="28"/>
            </w:rPr>
            <w:t>安全技术要求</w:t>
          </w:r>
          <w:r>
            <w:tab/>
          </w:r>
          <w:r>
            <w:fldChar w:fldCharType="begin"/>
          </w:r>
          <w:r>
            <w:instrText xml:space="preserve"> PAGEREF _Toc28928 \h </w:instrText>
          </w:r>
          <w:r>
            <w:fldChar w:fldCharType="separate"/>
          </w:r>
          <w:r>
            <w:t>128</w:t>
          </w:r>
          <w:r>
            <w:fldChar w:fldCharType="end"/>
          </w:r>
          <w:r>
            <w:rPr>
              <w:rFonts w:hint="eastAsia" w:ascii="宋体" w:hAnsi="宋体" w:eastAsia="宋体" w:cs="宋体"/>
              <w:color w:val="auto"/>
              <w:szCs w:val="24"/>
            </w:rPr>
            <w:fldChar w:fldCharType="end"/>
          </w:r>
        </w:p>
        <w:p>
          <w:pPr>
            <w:pStyle w:val="24"/>
            <w:tabs>
              <w:tab w:val="right" w:leader="dot" w:pos="8459"/>
              <w:tab w:val="clear" w:pos="1260"/>
              <w:tab w:val="clear" w:pos="988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_Toc21473 </w:instrText>
          </w:r>
          <w:r>
            <w:rPr>
              <w:rFonts w:hint="eastAsia" w:ascii="宋体" w:hAnsi="宋体" w:eastAsia="宋体" w:cs="宋体"/>
              <w:szCs w:val="24"/>
            </w:rPr>
            <w:fldChar w:fldCharType="separate"/>
          </w:r>
          <w:r>
            <w:rPr>
              <w:rFonts w:hint="default" w:ascii="宋体" w:hAnsi="宋体" w:eastAsia="宋体" w:cs="宋体"/>
              <w:bCs/>
              <w:i w:val="0"/>
              <w:szCs w:val="40"/>
            </w:rPr>
            <w:t xml:space="preserve">第10章 </w:t>
          </w:r>
          <w:r>
            <w:rPr>
              <w:rFonts w:hint="eastAsia" w:cs="宋体"/>
              <w:szCs w:val="40"/>
            </w:rPr>
            <w:t>消防设计</w:t>
          </w:r>
          <w:r>
            <w:tab/>
          </w:r>
          <w:r>
            <w:fldChar w:fldCharType="begin"/>
          </w:r>
          <w:r>
            <w:instrText xml:space="preserve"> PAGEREF _Toc21473 \h </w:instrText>
          </w:r>
          <w:r>
            <w:fldChar w:fldCharType="separate"/>
          </w:r>
          <w:r>
            <w:t>139</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_Toc7230 </w:instrText>
          </w:r>
          <w:r>
            <w:rPr>
              <w:rFonts w:hint="eastAsia" w:ascii="宋体" w:hAnsi="宋体" w:eastAsia="宋体" w:cs="宋体"/>
              <w:szCs w:val="24"/>
            </w:rPr>
            <w:fldChar w:fldCharType="separate"/>
          </w:r>
          <w:r>
            <w:rPr>
              <w:rFonts w:hint="default" w:ascii="宋体" w:hAnsi="宋体" w:eastAsia="宋体" w:cs="宋体"/>
              <w:i w:val="0"/>
              <w:szCs w:val="28"/>
            </w:rPr>
            <w:t xml:space="preserve">10.1. </w:t>
          </w:r>
          <w:r>
            <w:rPr>
              <w:rFonts w:hint="eastAsia" w:cs="宋体"/>
              <w:szCs w:val="28"/>
            </w:rPr>
            <w:t>编制依据</w:t>
          </w:r>
          <w:r>
            <w:tab/>
          </w:r>
          <w:r>
            <w:fldChar w:fldCharType="begin"/>
          </w:r>
          <w:r>
            <w:instrText xml:space="preserve"> PAGEREF _Toc7230 \h </w:instrText>
          </w:r>
          <w:r>
            <w:fldChar w:fldCharType="separate"/>
          </w:r>
          <w:r>
            <w:t>139</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_Toc9305 </w:instrText>
          </w:r>
          <w:r>
            <w:rPr>
              <w:rFonts w:hint="eastAsia" w:ascii="宋体" w:hAnsi="宋体" w:eastAsia="宋体" w:cs="宋体"/>
              <w:szCs w:val="24"/>
            </w:rPr>
            <w:fldChar w:fldCharType="separate"/>
          </w:r>
          <w:r>
            <w:rPr>
              <w:rFonts w:hint="default" w:ascii="宋体" w:hAnsi="宋体" w:eastAsia="宋体" w:cs="宋体"/>
              <w:i w:val="0"/>
              <w:szCs w:val="28"/>
            </w:rPr>
            <w:t xml:space="preserve">10.2. </w:t>
          </w:r>
          <w:r>
            <w:rPr>
              <w:rFonts w:hint="eastAsia" w:cs="宋体"/>
              <w:szCs w:val="28"/>
            </w:rPr>
            <w:t>防火等级</w:t>
          </w:r>
          <w:r>
            <w:tab/>
          </w:r>
          <w:r>
            <w:fldChar w:fldCharType="begin"/>
          </w:r>
          <w:r>
            <w:instrText xml:space="preserve"> PAGEREF _Toc9305 \h </w:instrText>
          </w:r>
          <w:r>
            <w:fldChar w:fldCharType="separate"/>
          </w:r>
          <w:r>
            <w:t>139</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_Toc3042 </w:instrText>
          </w:r>
          <w:r>
            <w:rPr>
              <w:rFonts w:hint="eastAsia" w:ascii="宋体" w:hAnsi="宋体" w:eastAsia="宋体" w:cs="宋体"/>
              <w:szCs w:val="24"/>
            </w:rPr>
            <w:fldChar w:fldCharType="separate"/>
          </w:r>
          <w:r>
            <w:rPr>
              <w:rFonts w:hint="default" w:ascii="宋体" w:hAnsi="宋体" w:eastAsia="宋体" w:cs="宋体"/>
              <w:i w:val="0"/>
              <w:szCs w:val="28"/>
            </w:rPr>
            <w:t xml:space="preserve">10.3. </w:t>
          </w:r>
          <w:r>
            <w:rPr>
              <w:rFonts w:hint="eastAsia" w:cs="宋体"/>
              <w:szCs w:val="28"/>
            </w:rPr>
            <w:t>火灾及消防措施</w:t>
          </w:r>
          <w:r>
            <w:tab/>
          </w:r>
          <w:r>
            <w:fldChar w:fldCharType="begin"/>
          </w:r>
          <w:r>
            <w:instrText xml:space="preserve"> PAGEREF _Toc3042 \h </w:instrText>
          </w:r>
          <w:r>
            <w:fldChar w:fldCharType="separate"/>
          </w:r>
          <w:r>
            <w:t>139</w:t>
          </w:r>
          <w:r>
            <w:fldChar w:fldCharType="end"/>
          </w:r>
          <w:r>
            <w:rPr>
              <w:rFonts w:hint="eastAsia" w:ascii="宋体" w:hAnsi="宋体" w:eastAsia="宋体" w:cs="宋体"/>
              <w:color w:val="auto"/>
              <w:szCs w:val="24"/>
            </w:rPr>
            <w:fldChar w:fldCharType="end"/>
          </w:r>
        </w:p>
        <w:p>
          <w:pPr>
            <w:pStyle w:val="24"/>
            <w:tabs>
              <w:tab w:val="right" w:leader="dot" w:pos="8459"/>
              <w:tab w:val="clear" w:pos="1260"/>
              <w:tab w:val="clear" w:pos="988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_Toc11114 </w:instrText>
          </w:r>
          <w:r>
            <w:rPr>
              <w:rFonts w:hint="eastAsia" w:ascii="宋体" w:hAnsi="宋体" w:eastAsia="宋体" w:cs="宋体"/>
              <w:szCs w:val="24"/>
            </w:rPr>
            <w:fldChar w:fldCharType="separate"/>
          </w:r>
          <w:r>
            <w:rPr>
              <w:rFonts w:hint="default" w:ascii="宋体" w:hAnsi="宋体" w:eastAsia="宋体" w:cs="宋体"/>
              <w:bCs/>
              <w:i w:val="0"/>
              <w:szCs w:val="40"/>
            </w:rPr>
            <w:t xml:space="preserve">第11章 </w:t>
          </w:r>
          <w:r>
            <w:rPr>
              <w:rFonts w:cs="宋体"/>
              <w:szCs w:val="40"/>
            </w:rPr>
            <w:t>节能</w:t>
          </w:r>
          <w:r>
            <w:rPr>
              <w:rFonts w:hint="eastAsia" w:cs="宋体"/>
              <w:szCs w:val="40"/>
              <w:lang w:eastAsia="zh-CN"/>
            </w:rPr>
            <w:t>及节水措施</w:t>
          </w:r>
          <w:r>
            <w:tab/>
          </w:r>
          <w:r>
            <w:fldChar w:fldCharType="begin"/>
          </w:r>
          <w:r>
            <w:instrText xml:space="preserve"> PAGEREF _Toc11114 \h </w:instrText>
          </w:r>
          <w:r>
            <w:fldChar w:fldCharType="separate"/>
          </w:r>
          <w:r>
            <w:t>140</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_Toc2392 </w:instrText>
          </w:r>
          <w:r>
            <w:rPr>
              <w:rFonts w:hint="eastAsia" w:ascii="宋体" w:hAnsi="宋体" w:eastAsia="宋体" w:cs="宋体"/>
              <w:szCs w:val="24"/>
            </w:rPr>
            <w:fldChar w:fldCharType="separate"/>
          </w:r>
          <w:r>
            <w:rPr>
              <w:rFonts w:hint="default" w:ascii="宋体" w:hAnsi="宋体" w:eastAsia="宋体" w:cs="宋体"/>
              <w:i w:val="0"/>
              <w:szCs w:val="28"/>
            </w:rPr>
            <w:t xml:space="preserve">11.1. </w:t>
          </w:r>
          <w:r>
            <w:rPr>
              <w:rFonts w:cs="宋体" w:asciiTheme="minorEastAsia" w:hAnsiTheme="minorEastAsia" w:eastAsiaTheme="minorEastAsia"/>
              <w:szCs w:val="28"/>
            </w:rPr>
            <w:t>节能规范</w:t>
          </w:r>
          <w:r>
            <w:tab/>
          </w:r>
          <w:r>
            <w:fldChar w:fldCharType="begin"/>
          </w:r>
          <w:r>
            <w:instrText xml:space="preserve"> PAGEREF _Toc2392 \h </w:instrText>
          </w:r>
          <w:r>
            <w:fldChar w:fldCharType="separate"/>
          </w:r>
          <w:r>
            <w:t>140</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_Toc15658 </w:instrText>
          </w:r>
          <w:r>
            <w:rPr>
              <w:rFonts w:hint="eastAsia" w:ascii="宋体" w:hAnsi="宋体" w:eastAsia="宋体" w:cs="宋体"/>
              <w:szCs w:val="24"/>
            </w:rPr>
            <w:fldChar w:fldCharType="separate"/>
          </w:r>
          <w:r>
            <w:rPr>
              <w:rFonts w:hint="default" w:ascii="宋体" w:hAnsi="宋体" w:eastAsia="宋体" w:cs="宋体"/>
              <w:i w:val="0"/>
              <w:szCs w:val="28"/>
            </w:rPr>
            <w:t xml:space="preserve">11.2. </w:t>
          </w:r>
          <w:r>
            <w:rPr>
              <w:rFonts w:cs="宋体" w:asciiTheme="minorEastAsia" w:hAnsiTheme="minorEastAsia" w:eastAsiaTheme="minorEastAsia"/>
              <w:szCs w:val="28"/>
            </w:rPr>
            <w:t>项目能源消耗分析</w:t>
          </w:r>
          <w:r>
            <w:tab/>
          </w:r>
          <w:r>
            <w:fldChar w:fldCharType="begin"/>
          </w:r>
          <w:r>
            <w:instrText xml:space="preserve"> PAGEREF _Toc15658 \h </w:instrText>
          </w:r>
          <w:r>
            <w:fldChar w:fldCharType="separate"/>
          </w:r>
          <w:r>
            <w:t>140</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_Toc28499 </w:instrText>
          </w:r>
          <w:r>
            <w:rPr>
              <w:rFonts w:hint="eastAsia" w:ascii="宋体" w:hAnsi="宋体" w:eastAsia="宋体" w:cs="宋体"/>
              <w:szCs w:val="24"/>
            </w:rPr>
            <w:fldChar w:fldCharType="separate"/>
          </w:r>
          <w:r>
            <w:rPr>
              <w:rFonts w:hint="default" w:ascii="宋体" w:hAnsi="宋体" w:eastAsia="宋体" w:cs="宋体"/>
              <w:i w:val="0"/>
              <w:szCs w:val="28"/>
            </w:rPr>
            <w:t xml:space="preserve">11.3. </w:t>
          </w:r>
          <w:r>
            <w:rPr>
              <w:rFonts w:cs="宋体" w:asciiTheme="minorEastAsia" w:hAnsiTheme="minorEastAsia" w:eastAsiaTheme="minorEastAsia"/>
              <w:szCs w:val="28"/>
            </w:rPr>
            <w:t>项目能源供应分析</w:t>
          </w:r>
          <w:r>
            <w:tab/>
          </w:r>
          <w:r>
            <w:fldChar w:fldCharType="begin"/>
          </w:r>
          <w:r>
            <w:instrText xml:space="preserve"> PAGEREF _Toc28499 \h </w:instrText>
          </w:r>
          <w:r>
            <w:fldChar w:fldCharType="separate"/>
          </w:r>
          <w:r>
            <w:t>140</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_Toc3242 </w:instrText>
          </w:r>
          <w:r>
            <w:rPr>
              <w:rFonts w:hint="eastAsia" w:ascii="宋体" w:hAnsi="宋体" w:eastAsia="宋体" w:cs="宋体"/>
              <w:szCs w:val="24"/>
            </w:rPr>
            <w:fldChar w:fldCharType="separate"/>
          </w:r>
          <w:r>
            <w:rPr>
              <w:rFonts w:hint="default" w:ascii="宋体" w:hAnsi="宋体" w:eastAsia="宋体" w:cs="宋体"/>
              <w:i w:val="0"/>
              <w:szCs w:val="28"/>
            </w:rPr>
            <w:t xml:space="preserve">11.4. </w:t>
          </w:r>
          <w:r>
            <w:rPr>
              <w:rFonts w:cs="宋体" w:asciiTheme="minorEastAsia" w:hAnsiTheme="minorEastAsia" w:eastAsiaTheme="minorEastAsia"/>
              <w:szCs w:val="28"/>
            </w:rPr>
            <w:t>能耗指标分析</w:t>
          </w:r>
          <w:r>
            <w:tab/>
          </w:r>
          <w:r>
            <w:fldChar w:fldCharType="begin"/>
          </w:r>
          <w:r>
            <w:instrText xml:space="preserve"> PAGEREF _Toc3242 \h </w:instrText>
          </w:r>
          <w:r>
            <w:fldChar w:fldCharType="separate"/>
          </w:r>
          <w:r>
            <w:t>141</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_Toc800 </w:instrText>
          </w:r>
          <w:r>
            <w:rPr>
              <w:rFonts w:hint="eastAsia" w:ascii="宋体" w:hAnsi="宋体" w:eastAsia="宋体" w:cs="宋体"/>
              <w:szCs w:val="24"/>
            </w:rPr>
            <w:fldChar w:fldCharType="separate"/>
          </w:r>
          <w:r>
            <w:rPr>
              <w:rFonts w:hint="default" w:ascii="宋体" w:hAnsi="宋体" w:eastAsia="宋体" w:cs="宋体"/>
              <w:i w:val="0"/>
              <w:szCs w:val="28"/>
            </w:rPr>
            <w:t xml:space="preserve">11.5. </w:t>
          </w:r>
          <w:r>
            <w:rPr>
              <w:rFonts w:hint="eastAsia" w:cs="宋体" w:asciiTheme="minorEastAsia" w:hAnsiTheme="minorEastAsia" w:eastAsiaTheme="minorEastAsia"/>
              <w:szCs w:val="28"/>
              <w:lang w:eastAsia="zh-CN"/>
            </w:rPr>
            <w:t>节水</w:t>
          </w:r>
          <w:r>
            <w:rPr>
              <w:rFonts w:cs="宋体" w:asciiTheme="minorEastAsia" w:hAnsiTheme="minorEastAsia" w:eastAsiaTheme="minorEastAsia"/>
              <w:szCs w:val="28"/>
            </w:rPr>
            <w:t>节能措施及效果</w:t>
          </w:r>
          <w:r>
            <w:tab/>
          </w:r>
          <w:r>
            <w:fldChar w:fldCharType="begin"/>
          </w:r>
          <w:r>
            <w:instrText xml:space="preserve"> PAGEREF _Toc800 \h </w:instrText>
          </w:r>
          <w:r>
            <w:fldChar w:fldCharType="separate"/>
          </w:r>
          <w:r>
            <w:t>141</w:t>
          </w:r>
          <w:r>
            <w:fldChar w:fldCharType="end"/>
          </w:r>
          <w:r>
            <w:rPr>
              <w:rFonts w:hint="eastAsia" w:ascii="宋体" w:hAnsi="宋体" w:eastAsia="宋体" w:cs="宋体"/>
              <w:color w:val="auto"/>
              <w:szCs w:val="24"/>
            </w:rPr>
            <w:fldChar w:fldCharType="end"/>
          </w:r>
        </w:p>
        <w:p>
          <w:pPr>
            <w:pStyle w:val="24"/>
            <w:tabs>
              <w:tab w:val="right" w:leader="dot" w:pos="8459"/>
              <w:tab w:val="clear" w:pos="1260"/>
              <w:tab w:val="clear" w:pos="988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_Toc13949 </w:instrText>
          </w:r>
          <w:r>
            <w:rPr>
              <w:rFonts w:hint="eastAsia" w:ascii="宋体" w:hAnsi="宋体" w:eastAsia="宋体" w:cs="宋体"/>
              <w:szCs w:val="24"/>
            </w:rPr>
            <w:fldChar w:fldCharType="separate"/>
          </w:r>
          <w:r>
            <w:rPr>
              <w:rFonts w:hint="default" w:ascii="宋体" w:hAnsi="宋体" w:eastAsia="宋体" w:cs="宋体"/>
              <w:bCs/>
              <w:i w:val="0"/>
              <w:szCs w:val="40"/>
            </w:rPr>
            <w:t xml:space="preserve">第12章 </w:t>
          </w:r>
          <w:r>
            <w:rPr>
              <w:rFonts w:hint="eastAsia" w:cs="宋体"/>
              <w:szCs w:val="40"/>
              <w:lang w:eastAsia="zh-CN"/>
            </w:rPr>
            <w:t>管理机构、人员编制及进度计划</w:t>
          </w:r>
          <w:r>
            <w:tab/>
          </w:r>
          <w:r>
            <w:fldChar w:fldCharType="begin"/>
          </w:r>
          <w:r>
            <w:instrText xml:space="preserve"> PAGEREF _Toc13949 \h </w:instrText>
          </w:r>
          <w:r>
            <w:fldChar w:fldCharType="separate"/>
          </w:r>
          <w:r>
            <w:t>143</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_Toc4502 </w:instrText>
          </w:r>
          <w:r>
            <w:rPr>
              <w:rFonts w:hint="eastAsia" w:ascii="宋体" w:hAnsi="宋体" w:eastAsia="宋体" w:cs="宋体"/>
              <w:szCs w:val="24"/>
            </w:rPr>
            <w:fldChar w:fldCharType="separate"/>
          </w:r>
          <w:r>
            <w:rPr>
              <w:rFonts w:hint="default" w:ascii="宋体" w:hAnsi="宋体" w:eastAsia="宋体" w:cs="宋体"/>
              <w:i w:val="0"/>
              <w:szCs w:val="28"/>
            </w:rPr>
            <w:t xml:space="preserve">12.1. </w:t>
          </w:r>
          <w:r>
            <w:rPr>
              <w:rFonts w:cs="宋体" w:asciiTheme="minorEastAsia" w:hAnsiTheme="minorEastAsia" w:eastAsiaTheme="minorEastAsia"/>
              <w:szCs w:val="28"/>
            </w:rPr>
            <w:t>管理机构</w:t>
          </w:r>
          <w:r>
            <w:tab/>
          </w:r>
          <w:r>
            <w:fldChar w:fldCharType="begin"/>
          </w:r>
          <w:r>
            <w:instrText xml:space="preserve"> PAGEREF _Toc4502 \h </w:instrText>
          </w:r>
          <w:r>
            <w:fldChar w:fldCharType="separate"/>
          </w:r>
          <w:r>
            <w:t>143</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_Toc13416 </w:instrText>
          </w:r>
          <w:r>
            <w:rPr>
              <w:rFonts w:hint="eastAsia" w:ascii="宋体" w:hAnsi="宋体" w:eastAsia="宋体" w:cs="宋体"/>
              <w:szCs w:val="24"/>
            </w:rPr>
            <w:fldChar w:fldCharType="separate"/>
          </w:r>
          <w:r>
            <w:rPr>
              <w:rFonts w:hint="default" w:ascii="宋体" w:hAnsi="宋体" w:eastAsia="宋体" w:cs="宋体"/>
              <w:i w:val="0"/>
              <w:szCs w:val="28"/>
            </w:rPr>
            <w:t xml:space="preserve">12.2. </w:t>
          </w:r>
          <w:r>
            <w:rPr>
              <w:rFonts w:hint="eastAsia" w:cs="宋体"/>
              <w:szCs w:val="28"/>
              <w:lang w:eastAsia="zh-CN"/>
            </w:rPr>
            <w:t>人员编制</w:t>
          </w:r>
          <w:r>
            <w:tab/>
          </w:r>
          <w:r>
            <w:fldChar w:fldCharType="begin"/>
          </w:r>
          <w:r>
            <w:instrText xml:space="preserve"> PAGEREF _Toc13416 \h </w:instrText>
          </w:r>
          <w:r>
            <w:fldChar w:fldCharType="separate"/>
          </w:r>
          <w:r>
            <w:t>143</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_Toc13454 </w:instrText>
          </w:r>
          <w:r>
            <w:rPr>
              <w:rFonts w:hint="eastAsia" w:ascii="宋体" w:hAnsi="宋体" w:eastAsia="宋体" w:cs="宋体"/>
              <w:szCs w:val="24"/>
            </w:rPr>
            <w:fldChar w:fldCharType="separate"/>
          </w:r>
          <w:r>
            <w:rPr>
              <w:rFonts w:hint="default" w:ascii="宋体" w:hAnsi="宋体" w:eastAsia="宋体" w:cs="宋体"/>
              <w:i w:val="0"/>
              <w:lang w:val="en-US" w:eastAsia="zh-CN"/>
            </w:rPr>
            <w:t xml:space="preserve">12.3. </w:t>
          </w:r>
          <w:r>
            <w:rPr>
              <w:rFonts w:hint="eastAsia" w:ascii="宋体" w:hAnsi="宋体" w:eastAsia="宋体" w:cs="宋体"/>
              <w:highlight w:val="none"/>
              <w:lang w:val="en-US" w:eastAsia="zh-CN"/>
            </w:rPr>
            <w:t>实施管理方案及工程验收标准</w:t>
          </w:r>
          <w:r>
            <w:tab/>
          </w:r>
          <w:r>
            <w:fldChar w:fldCharType="begin"/>
          </w:r>
          <w:r>
            <w:instrText xml:space="preserve"> PAGEREF _Toc13454 \h </w:instrText>
          </w:r>
          <w:r>
            <w:fldChar w:fldCharType="separate"/>
          </w:r>
          <w:r>
            <w:t>143</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_Toc11132 </w:instrText>
          </w:r>
          <w:r>
            <w:rPr>
              <w:rFonts w:hint="eastAsia" w:ascii="宋体" w:hAnsi="宋体" w:eastAsia="宋体" w:cs="宋体"/>
              <w:szCs w:val="24"/>
            </w:rPr>
            <w:fldChar w:fldCharType="separate"/>
          </w:r>
          <w:r>
            <w:rPr>
              <w:rFonts w:hint="default" w:ascii="宋体" w:hAnsi="宋体" w:eastAsia="宋体" w:cs="宋体"/>
              <w:i w:val="0"/>
              <w:szCs w:val="28"/>
            </w:rPr>
            <w:t xml:space="preserve">12.4. </w:t>
          </w:r>
          <w:r>
            <w:rPr>
              <w:rFonts w:hint="eastAsia" w:cs="宋体" w:asciiTheme="minorEastAsia" w:hAnsiTheme="minorEastAsia" w:eastAsiaTheme="minorEastAsia"/>
              <w:szCs w:val="28"/>
              <w:lang w:eastAsia="zh-CN"/>
            </w:rPr>
            <w:t>项目实施计划</w:t>
          </w:r>
          <w:r>
            <w:tab/>
          </w:r>
          <w:r>
            <w:fldChar w:fldCharType="begin"/>
          </w:r>
          <w:r>
            <w:instrText xml:space="preserve"> PAGEREF _Toc11132 \h </w:instrText>
          </w:r>
          <w:r>
            <w:fldChar w:fldCharType="separate"/>
          </w:r>
          <w:r>
            <w:t>145</w:t>
          </w:r>
          <w:r>
            <w:fldChar w:fldCharType="end"/>
          </w:r>
          <w:r>
            <w:rPr>
              <w:rFonts w:hint="eastAsia" w:ascii="宋体" w:hAnsi="宋体" w:eastAsia="宋体" w:cs="宋体"/>
              <w:color w:val="auto"/>
              <w:szCs w:val="24"/>
            </w:rPr>
            <w:fldChar w:fldCharType="end"/>
          </w:r>
        </w:p>
        <w:p>
          <w:pPr>
            <w:pStyle w:val="24"/>
            <w:tabs>
              <w:tab w:val="right" w:leader="dot" w:pos="8459"/>
              <w:tab w:val="clear" w:pos="1260"/>
              <w:tab w:val="clear" w:pos="988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_Toc3330 </w:instrText>
          </w:r>
          <w:r>
            <w:rPr>
              <w:rFonts w:hint="eastAsia" w:ascii="宋体" w:hAnsi="宋体" w:eastAsia="宋体" w:cs="宋体"/>
              <w:szCs w:val="24"/>
            </w:rPr>
            <w:fldChar w:fldCharType="separate"/>
          </w:r>
          <w:r>
            <w:rPr>
              <w:rFonts w:hint="default" w:ascii="宋体" w:hAnsi="宋体" w:eastAsia="宋体" w:cs="宋体"/>
              <w:bCs/>
              <w:i w:val="0"/>
              <w:szCs w:val="40"/>
            </w:rPr>
            <w:t xml:space="preserve">第13章 </w:t>
          </w:r>
          <w:r>
            <w:rPr>
              <w:rFonts w:hint="eastAsia" w:cs="宋体"/>
              <w:szCs w:val="40"/>
              <w:lang w:eastAsia="zh-CN"/>
            </w:rPr>
            <w:t>水土保持</w:t>
          </w:r>
          <w:r>
            <w:tab/>
          </w:r>
          <w:r>
            <w:fldChar w:fldCharType="begin"/>
          </w:r>
          <w:r>
            <w:instrText xml:space="preserve"> PAGEREF _Toc3330 \h </w:instrText>
          </w:r>
          <w:r>
            <w:fldChar w:fldCharType="separate"/>
          </w:r>
          <w:r>
            <w:t>146</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_Toc20530 </w:instrText>
          </w:r>
          <w:r>
            <w:rPr>
              <w:rFonts w:hint="eastAsia" w:ascii="宋体" w:hAnsi="宋体" w:eastAsia="宋体" w:cs="宋体"/>
              <w:szCs w:val="24"/>
            </w:rPr>
            <w:fldChar w:fldCharType="separate"/>
          </w:r>
          <w:r>
            <w:rPr>
              <w:rFonts w:hint="default" w:ascii="宋体" w:hAnsi="宋体" w:eastAsia="宋体" w:cs="宋体"/>
              <w:i w:val="0"/>
              <w:szCs w:val="28"/>
            </w:rPr>
            <w:t xml:space="preserve">13.1. </w:t>
          </w:r>
          <w:r>
            <w:rPr>
              <w:rFonts w:cs="宋体"/>
              <w:szCs w:val="28"/>
            </w:rPr>
            <w:t>水土流失防治责任范围划分</w:t>
          </w:r>
          <w:r>
            <w:tab/>
          </w:r>
          <w:r>
            <w:fldChar w:fldCharType="begin"/>
          </w:r>
          <w:r>
            <w:instrText xml:space="preserve"> PAGEREF _Toc20530 \h </w:instrText>
          </w:r>
          <w:r>
            <w:fldChar w:fldCharType="separate"/>
          </w:r>
          <w:r>
            <w:t>146</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_Toc24391 </w:instrText>
          </w:r>
          <w:r>
            <w:rPr>
              <w:rFonts w:hint="eastAsia" w:ascii="宋体" w:hAnsi="宋体" w:eastAsia="宋体" w:cs="宋体"/>
              <w:szCs w:val="24"/>
            </w:rPr>
            <w:fldChar w:fldCharType="separate"/>
          </w:r>
          <w:r>
            <w:rPr>
              <w:rFonts w:hint="default" w:ascii="宋体" w:hAnsi="宋体" w:eastAsia="宋体" w:cs="宋体"/>
              <w:i w:val="0"/>
              <w:szCs w:val="28"/>
            </w:rPr>
            <w:t xml:space="preserve">13.2. </w:t>
          </w:r>
          <w:r>
            <w:rPr>
              <w:rFonts w:cs="宋体" w:asciiTheme="minorEastAsia" w:hAnsiTheme="minorEastAsia" w:eastAsiaTheme="minorEastAsia"/>
              <w:szCs w:val="28"/>
            </w:rPr>
            <w:t>水土流失防治目标</w:t>
          </w:r>
          <w:r>
            <w:tab/>
          </w:r>
          <w:r>
            <w:fldChar w:fldCharType="begin"/>
          </w:r>
          <w:r>
            <w:instrText xml:space="preserve"> PAGEREF _Toc24391 \h </w:instrText>
          </w:r>
          <w:r>
            <w:fldChar w:fldCharType="separate"/>
          </w:r>
          <w:r>
            <w:t>146</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_Toc14406 </w:instrText>
          </w:r>
          <w:r>
            <w:rPr>
              <w:rFonts w:hint="eastAsia" w:ascii="宋体" w:hAnsi="宋体" w:eastAsia="宋体" w:cs="宋体"/>
              <w:szCs w:val="24"/>
            </w:rPr>
            <w:fldChar w:fldCharType="separate"/>
          </w:r>
          <w:r>
            <w:rPr>
              <w:rFonts w:hint="default" w:ascii="宋体" w:hAnsi="宋体" w:eastAsia="宋体" w:cs="宋体"/>
              <w:i w:val="0"/>
              <w:szCs w:val="28"/>
            </w:rPr>
            <w:t xml:space="preserve">13.3. </w:t>
          </w:r>
          <w:r>
            <w:rPr>
              <w:rFonts w:cs="宋体" w:asciiTheme="minorEastAsia" w:hAnsiTheme="minorEastAsia" w:eastAsiaTheme="minorEastAsia"/>
              <w:szCs w:val="28"/>
            </w:rPr>
            <w:t>水土流失</w:t>
          </w:r>
          <w:r>
            <w:rPr>
              <w:rFonts w:cs="宋体"/>
              <w:szCs w:val="28"/>
            </w:rPr>
            <w:t>防治</w:t>
          </w:r>
          <w:r>
            <w:rPr>
              <w:rFonts w:cs="宋体" w:asciiTheme="minorEastAsia" w:hAnsiTheme="minorEastAsia" w:eastAsiaTheme="minorEastAsia"/>
              <w:szCs w:val="28"/>
            </w:rPr>
            <w:t>方案设计</w:t>
          </w:r>
          <w:r>
            <w:tab/>
          </w:r>
          <w:r>
            <w:fldChar w:fldCharType="begin"/>
          </w:r>
          <w:r>
            <w:instrText xml:space="preserve"> PAGEREF _Toc14406 \h </w:instrText>
          </w:r>
          <w:r>
            <w:fldChar w:fldCharType="separate"/>
          </w:r>
          <w:r>
            <w:t>147</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_Toc10755 </w:instrText>
          </w:r>
          <w:r>
            <w:rPr>
              <w:rFonts w:hint="eastAsia" w:ascii="宋体" w:hAnsi="宋体" w:eastAsia="宋体" w:cs="宋体"/>
              <w:szCs w:val="24"/>
            </w:rPr>
            <w:fldChar w:fldCharType="separate"/>
          </w:r>
          <w:r>
            <w:rPr>
              <w:rFonts w:hint="default" w:ascii="宋体" w:hAnsi="宋体" w:eastAsia="宋体" w:cs="宋体"/>
              <w:i w:val="0"/>
              <w:szCs w:val="28"/>
            </w:rPr>
            <w:t xml:space="preserve">13.4. </w:t>
          </w:r>
          <w:r>
            <w:rPr>
              <w:rFonts w:cs="宋体" w:asciiTheme="minorEastAsia" w:hAnsiTheme="minorEastAsia" w:eastAsiaTheme="minorEastAsia"/>
              <w:szCs w:val="28"/>
            </w:rPr>
            <w:t>水土保持监测规划</w:t>
          </w:r>
          <w:r>
            <w:tab/>
          </w:r>
          <w:r>
            <w:fldChar w:fldCharType="begin"/>
          </w:r>
          <w:r>
            <w:instrText xml:space="preserve"> PAGEREF _Toc10755 \h </w:instrText>
          </w:r>
          <w:r>
            <w:fldChar w:fldCharType="separate"/>
          </w:r>
          <w:r>
            <w:t>147</w:t>
          </w:r>
          <w:r>
            <w:fldChar w:fldCharType="end"/>
          </w:r>
          <w:r>
            <w:rPr>
              <w:rFonts w:hint="eastAsia" w:ascii="宋体" w:hAnsi="宋体" w:eastAsia="宋体" w:cs="宋体"/>
              <w:color w:val="auto"/>
              <w:szCs w:val="24"/>
            </w:rPr>
            <w:fldChar w:fldCharType="end"/>
          </w:r>
        </w:p>
        <w:p>
          <w:pPr>
            <w:pStyle w:val="24"/>
            <w:tabs>
              <w:tab w:val="right" w:leader="dot" w:pos="8459"/>
              <w:tab w:val="clear" w:pos="1260"/>
              <w:tab w:val="clear" w:pos="988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_Toc28754 </w:instrText>
          </w:r>
          <w:r>
            <w:rPr>
              <w:rFonts w:hint="eastAsia" w:ascii="宋体" w:hAnsi="宋体" w:eastAsia="宋体" w:cs="宋体"/>
              <w:szCs w:val="24"/>
            </w:rPr>
            <w:fldChar w:fldCharType="separate"/>
          </w:r>
          <w:r>
            <w:rPr>
              <w:rFonts w:hint="default" w:ascii="宋体" w:hAnsi="宋体" w:eastAsia="宋体" w:cs="宋体"/>
              <w:bCs/>
              <w:i w:val="0"/>
              <w:szCs w:val="40"/>
            </w:rPr>
            <w:t xml:space="preserve">第14章 </w:t>
          </w:r>
          <w:r>
            <w:rPr>
              <w:rFonts w:hint="eastAsia" w:cs="宋体"/>
              <w:szCs w:val="40"/>
              <w:lang w:val="en-US" w:eastAsia="zh-CN"/>
            </w:rPr>
            <w:t>征地</w:t>
          </w:r>
          <w:r>
            <w:rPr>
              <w:rFonts w:hint="eastAsia" w:cs="宋体"/>
              <w:szCs w:val="40"/>
              <w:highlight w:val="none"/>
              <w:lang w:val="en-US" w:eastAsia="zh-CN"/>
            </w:rPr>
            <w:t>和借地</w:t>
          </w:r>
          <w:r>
            <w:tab/>
          </w:r>
          <w:r>
            <w:fldChar w:fldCharType="begin"/>
          </w:r>
          <w:r>
            <w:instrText xml:space="preserve"> PAGEREF _Toc28754 \h </w:instrText>
          </w:r>
          <w:r>
            <w:fldChar w:fldCharType="separate"/>
          </w:r>
          <w:r>
            <w:t>149</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_Toc21954 </w:instrText>
          </w:r>
          <w:r>
            <w:rPr>
              <w:rFonts w:hint="eastAsia" w:ascii="宋体" w:hAnsi="宋体" w:eastAsia="宋体" w:cs="宋体"/>
              <w:szCs w:val="24"/>
            </w:rPr>
            <w:fldChar w:fldCharType="separate"/>
          </w:r>
          <w:r>
            <w:rPr>
              <w:rFonts w:hint="default" w:ascii="宋体" w:hAnsi="宋体" w:eastAsia="宋体" w:cs="宋体"/>
              <w:i w:val="0"/>
              <w:szCs w:val="28"/>
            </w:rPr>
            <w:t xml:space="preserve">14.1. </w:t>
          </w:r>
          <w:r>
            <w:rPr>
              <w:rFonts w:hint="eastAsia" w:cs="宋体"/>
              <w:szCs w:val="28"/>
              <w:lang w:val="en-US" w:eastAsia="zh-CN"/>
            </w:rPr>
            <w:t>设计依据</w:t>
          </w:r>
          <w:r>
            <w:tab/>
          </w:r>
          <w:r>
            <w:fldChar w:fldCharType="begin"/>
          </w:r>
          <w:r>
            <w:instrText xml:space="preserve"> PAGEREF _Toc21954 \h </w:instrText>
          </w:r>
          <w:r>
            <w:fldChar w:fldCharType="separate"/>
          </w:r>
          <w:r>
            <w:t>149</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_Toc7049 </w:instrText>
          </w:r>
          <w:r>
            <w:rPr>
              <w:rFonts w:hint="eastAsia" w:ascii="宋体" w:hAnsi="宋体" w:eastAsia="宋体" w:cs="宋体"/>
              <w:szCs w:val="24"/>
            </w:rPr>
            <w:fldChar w:fldCharType="separate"/>
          </w:r>
          <w:r>
            <w:rPr>
              <w:rFonts w:hint="default" w:ascii="宋体" w:hAnsi="宋体" w:eastAsia="宋体" w:cs="宋体"/>
              <w:i w:val="0"/>
              <w:szCs w:val="28"/>
            </w:rPr>
            <w:t xml:space="preserve">14.2. </w:t>
          </w:r>
          <w:r>
            <w:rPr>
              <w:rFonts w:hint="eastAsia" w:cs="宋体"/>
              <w:szCs w:val="28"/>
            </w:rPr>
            <w:t>征地范围</w:t>
          </w:r>
          <w:r>
            <w:tab/>
          </w:r>
          <w:r>
            <w:fldChar w:fldCharType="begin"/>
          </w:r>
          <w:r>
            <w:instrText xml:space="preserve"> PAGEREF _Toc7049 \h </w:instrText>
          </w:r>
          <w:r>
            <w:fldChar w:fldCharType="separate"/>
          </w:r>
          <w:r>
            <w:t>149</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_Toc19041 </w:instrText>
          </w:r>
          <w:r>
            <w:rPr>
              <w:rFonts w:hint="eastAsia" w:ascii="宋体" w:hAnsi="宋体" w:eastAsia="宋体" w:cs="宋体"/>
              <w:szCs w:val="24"/>
            </w:rPr>
            <w:fldChar w:fldCharType="separate"/>
          </w:r>
          <w:r>
            <w:rPr>
              <w:rFonts w:hint="default" w:ascii="宋体" w:hAnsi="宋体" w:eastAsia="宋体" w:cs="宋体"/>
              <w:i w:val="0"/>
              <w:szCs w:val="28"/>
            </w:rPr>
            <w:t xml:space="preserve">14.3. </w:t>
          </w:r>
          <w:r>
            <w:rPr>
              <w:rFonts w:hint="eastAsia" w:cs="宋体"/>
              <w:szCs w:val="28"/>
            </w:rPr>
            <w:t>征地实物</w:t>
          </w:r>
          <w:r>
            <w:tab/>
          </w:r>
          <w:r>
            <w:fldChar w:fldCharType="begin"/>
          </w:r>
          <w:r>
            <w:instrText xml:space="preserve"> PAGEREF _Toc19041 \h </w:instrText>
          </w:r>
          <w:r>
            <w:fldChar w:fldCharType="separate"/>
          </w:r>
          <w:r>
            <w:t>150</w:t>
          </w:r>
          <w:r>
            <w:fldChar w:fldCharType="end"/>
          </w:r>
          <w:r>
            <w:rPr>
              <w:rFonts w:hint="eastAsia" w:ascii="宋体" w:hAnsi="宋体" w:eastAsia="宋体" w:cs="宋体"/>
              <w:color w:val="auto"/>
              <w:szCs w:val="24"/>
            </w:rPr>
            <w:fldChar w:fldCharType="end"/>
          </w:r>
        </w:p>
        <w:p>
          <w:pPr>
            <w:pStyle w:val="24"/>
            <w:tabs>
              <w:tab w:val="right" w:leader="dot" w:pos="8459"/>
              <w:tab w:val="clear" w:pos="1260"/>
              <w:tab w:val="clear" w:pos="988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_Toc22014 </w:instrText>
          </w:r>
          <w:r>
            <w:rPr>
              <w:rFonts w:hint="eastAsia" w:ascii="宋体" w:hAnsi="宋体" w:eastAsia="宋体" w:cs="宋体"/>
              <w:szCs w:val="24"/>
            </w:rPr>
            <w:fldChar w:fldCharType="separate"/>
          </w:r>
          <w:r>
            <w:rPr>
              <w:rFonts w:hint="default" w:ascii="宋体" w:hAnsi="宋体" w:eastAsia="宋体" w:cs="宋体"/>
              <w:bCs/>
              <w:i w:val="0"/>
              <w:szCs w:val="40"/>
              <w:lang w:val="en-US" w:eastAsia="zh-CN"/>
            </w:rPr>
            <w:t xml:space="preserve">第15章 </w:t>
          </w:r>
          <w:r>
            <w:rPr>
              <w:rFonts w:hint="eastAsia" w:cs="宋体"/>
              <w:szCs w:val="40"/>
              <w:lang w:val="en-US" w:eastAsia="zh-CN"/>
            </w:rPr>
            <w:t>防洪影响评价</w:t>
          </w:r>
          <w:r>
            <w:tab/>
          </w:r>
          <w:r>
            <w:fldChar w:fldCharType="begin"/>
          </w:r>
          <w:r>
            <w:instrText xml:space="preserve"> PAGEREF _Toc22014 \h </w:instrText>
          </w:r>
          <w:r>
            <w:fldChar w:fldCharType="separate"/>
          </w:r>
          <w:r>
            <w:t>152</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_Toc24745 </w:instrText>
          </w:r>
          <w:r>
            <w:rPr>
              <w:rFonts w:hint="eastAsia" w:ascii="宋体" w:hAnsi="宋体" w:eastAsia="宋体" w:cs="宋体"/>
              <w:szCs w:val="24"/>
            </w:rPr>
            <w:fldChar w:fldCharType="separate"/>
          </w:r>
          <w:r>
            <w:rPr>
              <w:rFonts w:hint="default" w:ascii="宋体" w:hAnsi="宋体" w:eastAsia="宋体" w:cs="宋体"/>
              <w:i w:val="0"/>
              <w:lang w:val="en-US" w:eastAsia="zh-CN"/>
            </w:rPr>
            <w:t xml:space="preserve">15.1. </w:t>
          </w:r>
          <w:r>
            <w:rPr>
              <w:rFonts w:hint="eastAsia" w:ascii="宋体" w:hAnsi="宋体" w:eastAsia="宋体" w:cs="宋体"/>
              <w:lang w:val="en-US" w:eastAsia="zh-CN"/>
            </w:rPr>
            <w:t>有关法律、法规</w:t>
          </w:r>
          <w:r>
            <w:tab/>
          </w:r>
          <w:r>
            <w:fldChar w:fldCharType="begin"/>
          </w:r>
          <w:r>
            <w:instrText xml:space="preserve"> PAGEREF _Toc24745 \h </w:instrText>
          </w:r>
          <w:r>
            <w:fldChar w:fldCharType="separate"/>
          </w:r>
          <w:r>
            <w:t>152</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_Toc5715 </w:instrText>
          </w:r>
          <w:r>
            <w:rPr>
              <w:rFonts w:hint="eastAsia" w:ascii="宋体" w:hAnsi="宋体" w:eastAsia="宋体" w:cs="宋体"/>
              <w:szCs w:val="24"/>
            </w:rPr>
            <w:fldChar w:fldCharType="separate"/>
          </w:r>
          <w:r>
            <w:rPr>
              <w:rFonts w:hint="default" w:ascii="宋体" w:hAnsi="宋体" w:eastAsia="宋体" w:cs="宋体"/>
              <w:i w:val="0"/>
              <w:lang w:val="en-US" w:eastAsia="zh-CN"/>
            </w:rPr>
            <w:t xml:space="preserve">15.2. </w:t>
          </w:r>
          <w:r>
            <w:rPr>
              <w:rFonts w:hint="eastAsia" w:ascii="宋体" w:hAnsi="宋体" w:eastAsia="宋体" w:cs="宋体"/>
              <w:lang w:val="en-US" w:eastAsia="zh-CN"/>
            </w:rPr>
            <w:t>相关技术规范和技术标准</w:t>
          </w:r>
          <w:r>
            <w:tab/>
          </w:r>
          <w:r>
            <w:fldChar w:fldCharType="begin"/>
          </w:r>
          <w:r>
            <w:instrText xml:space="preserve"> PAGEREF _Toc5715 \h </w:instrText>
          </w:r>
          <w:r>
            <w:fldChar w:fldCharType="separate"/>
          </w:r>
          <w:r>
            <w:t>153</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_Toc6597 </w:instrText>
          </w:r>
          <w:r>
            <w:rPr>
              <w:rFonts w:hint="eastAsia" w:ascii="宋体" w:hAnsi="宋体" w:eastAsia="宋体" w:cs="宋体"/>
              <w:szCs w:val="24"/>
            </w:rPr>
            <w:fldChar w:fldCharType="separate"/>
          </w:r>
          <w:r>
            <w:rPr>
              <w:rFonts w:hint="default" w:ascii="宋体" w:hAnsi="宋体" w:eastAsia="宋体" w:cs="宋体"/>
              <w:i w:val="0"/>
              <w:lang w:val="en-US" w:eastAsia="zh-CN"/>
            </w:rPr>
            <w:t xml:space="preserve">15.3. </w:t>
          </w:r>
          <w:r>
            <w:rPr>
              <w:rFonts w:hint="eastAsia" w:ascii="宋体" w:hAnsi="宋体" w:eastAsia="宋体" w:cs="宋体"/>
              <w:lang w:val="en-US" w:eastAsia="zh-CN"/>
            </w:rPr>
            <w:t>项目涉及防洪影响范围</w:t>
          </w:r>
          <w:r>
            <w:tab/>
          </w:r>
          <w:r>
            <w:fldChar w:fldCharType="begin"/>
          </w:r>
          <w:r>
            <w:instrText xml:space="preserve"> PAGEREF _Toc6597 \h </w:instrText>
          </w:r>
          <w:r>
            <w:fldChar w:fldCharType="separate"/>
          </w:r>
          <w:r>
            <w:t>154</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_Toc29135 </w:instrText>
          </w:r>
          <w:r>
            <w:rPr>
              <w:rFonts w:hint="eastAsia" w:ascii="宋体" w:hAnsi="宋体" w:eastAsia="宋体" w:cs="宋体"/>
              <w:szCs w:val="24"/>
            </w:rPr>
            <w:fldChar w:fldCharType="separate"/>
          </w:r>
          <w:r>
            <w:rPr>
              <w:rFonts w:hint="default" w:ascii="宋体" w:hAnsi="宋体" w:eastAsia="宋体" w:cs="宋体"/>
              <w:i w:val="0"/>
              <w:lang w:val="en-US" w:eastAsia="zh-CN"/>
            </w:rPr>
            <w:t xml:space="preserve">15.4. </w:t>
          </w:r>
          <w:r>
            <w:rPr>
              <w:rFonts w:hint="eastAsia" w:ascii="宋体" w:hAnsi="宋体" w:eastAsia="宋体" w:cs="宋体"/>
              <w:lang w:val="en-US" w:eastAsia="zh-CN"/>
            </w:rPr>
            <w:t>技术路线及研究内容</w:t>
          </w:r>
          <w:r>
            <w:tab/>
          </w:r>
          <w:r>
            <w:fldChar w:fldCharType="begin"/>
          </w:r>
          <w:r>
            <w:instrText xml:space="preserve"> PAGEREF _Toc29135 \h </w:instrText>
          </w:r>
          <w:r>
            <w:fldChar w:fldCharType="separate"/>
          </w:r>
          <w:r>
            <w:t>155</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_Toc4994 </w:instrText>
          </w:r>
          <w:r>
            <w:rPr>
              <w:rFonts w:hint="eastAsia" w:ascii="宋体" w:hAnsi="宋体" w:eastAsia="宋体" w:cs="宋体"/>
              <w:szCs w:val="24"/>
            </w:rPr>
            <w:fldChar w:fldCharType="separate"/>
          </w:r>
          <w:r>
            <w:rPr>
              <w:rFonts w:hint="default" w:ascii="宋体" w:hAnsi="宋体" w:eastAsia="宋体" w:cs="宋体"/>
              <w:i w:val="0"/>
              <w:lang w:val="en-US" w:eastAsia="zh-CN"/>
            </w:rPr>
            <w:t xml:space="preserve">15.5. </w:t>
          </w:r>
          <w:r>
            <w:rPr>
              <w:rFonts w:hint="eastAsia" w:ascii="宋体" w:hAnsi="宋体" w:eastAsia="宋体" w:cs="宋体"/>
              <w:lang w:val="en-US" w:eastAsia="zh-CN"/>
            </w:rPr>
            <w:t>工程建议</w:t>
          </w:r>
          <w:r>
            <w:tab/>
          </w:r>
          <w:r>
            <w:fldChar w:fldCharType="begin"/>
          </w:r>
          <w:r>
            <w:instrText xml:space="preserve"> PAGEREF _Toc4994 \h </w:instrText>
          </w:r>
          <w:r>
            <w:fldChar w:fldCharType="separate"/>
          </w:r>
          <w:r>
            <w:t>157</w:t>
          </w:r>
          <w:r>
            <w:fldChar w:fldCharType="end"/>
          </w:r>
          <w:r>
            <w:rPr>
              <w:rFonts w:hint="eastAsia" w:ascii="宋体" w:hAnsi="宋体" w:eastAsia="宋体" w:cs="宋体"/>
              <w:color w:val="auto"/>
              <w:szCs w:val="24"/>
            </w:rPr>
            <w:fldChar w:fldCharType="end"/>
          </w:r>
        </w:p>
        <w:p>
          <w:pPr>
            <w:pStyle w:val="24"/>
            <w:tabs>
              <w:tab w:val="right" w:leader="dot" w:pos="8459"/>
              <w:tab w:val="clear" w:pos="1260"/>
              <w:tab w:val="clear" w:pos="988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_Toc32293 </w:instrText>
          </w:r>
          <w:r>
            <w:rPr>
              <w:rFonts w:hint="eastAsia" w:ascii="宋体" w:hAnsi="宋体" w:eastAsia="宋体" w:cs="宋体"/>
              <w:szCs w:val="24"/>
            </w:rPr>
            <w:fldChar w:fldCharType="separate"/>
          </w:r>
          <w:r>
            <w:rPr>
              <w:rFonts w:hint="default" w:ascii="宋体" w:hAnsi="宋体" w:eastAsia="宋体" w:cs="宋体"/>
              <w:bCs/>
              <w:i w:val="0"/>
              <w:szCs w:val="40"/>
            </w:rPr>
            <w:t xml:space="preserve">第16章 </w:t>
          </w:r>
          <w:r>
            <w:rPr>
              <w:rFonts w:hint="eastAsia" w:cs="宋体"/>
              <w:szCs w:val="40"/>
              <w:lang w:eastAsia="zh-CN"/>
            </w:rPr>
            <w:t>古树名木及大树保护</w:t>
          </w:r>
          <w:r>
            <w:tab/>
          </w:r>
          <w:r>
            <w:fldChar w:fldCharType="begin"/>
          </w:r>
          <w:r>
            <w:instrText xml:space="preserve"> PAGEREF _Toc32293 \h </w:instrText>
          </w:r>
          <w:r>
            <w:fldChar w:fldCharType="separate"/>
          </w:r>
          <w:r>
            <w:t>159</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_Toc10105 </w:instrText>
          </w:r>
          <w:r>
            <w:rPr>
              <w:rFonts w:hint="eastAsia" w:ascii="宋体" w:hAnsi="宋体" w:eastAsia="宋体" w:cs="宋体"/>
              <w:szCs w:val="24"/>
            </w:rPr>
            <w:fldChar w:fldCharType="separate"/>
          </w:r>
          <w:r>
            <w:rPr>
              <w:rFonts w:hint="default" w:ascii="宋体" w:hAnsi="宋体" w:eastAsia="宋体" w:cs="宋体"/>
              <w:i w:val="0"/>
              <w:lang w:val="en-US" w:eastAsia="zh-CN"/>
            </w:rPr>
            <w:t xml:space="preserve">16.1. </w:t>
          </w:r>
          <w:r>
            <w:rPr>
              <w:rFonts w:hint="eastAsia" w:ascii="宋体" w:hAnsi="宋体" w:eastAsia="宋体" w:cs="宋体"/>
              <w:lang w:val="en-US" w:eastAsia="zh-CN"/>
            </w:rPr>
            <w:t>编制依据</w:t>
          </w:r>
          <w:r>
            <w:tab/>
          </w:r>
          <w:r>
            <w:fldChar w:fldCharType="begin"/>
          </w:r>
          <w:r>
            <w:instrText xml:space="preserve"> PAGEREF _Toc10105 \h </w:instrText>
          </w:r>
          <w:r>
            <w:fldChar w:fldCharType="separate"/>
          </w:r>
          <w:r>
            <w:t>159</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_Toc9845 </w:instrText>
          </w:r>
          <w:r>
            <w:rPr>
              <w:rFonts w:hint="eastAsia" w:ascii="宋体" w:hAnsi="宋体" w:eastAsia="宋体" w:cs="宋体"/>
              <w:szCs w:val="24"/>
            </w:rPr>
            <w:fldChar w:fldCharType="separate"/>
          </w:r>
          <w:r>
            <w:rPr>
              <w:rFonts w:hint="default" w:ascii="宋体" w:hAnsi="宋体" w:eastAsia="宋体" w:cs="宋体"/>
              <w:i w:val="0"/>
              <w:szCs w:val="28"/>
              <w:lang w:val="en-US" w:eastAsia="zh-CN"/>
            </w:rPr>
            <w:t xml:space="preserve">16.2. </w:t>
          </w:r>
          <w:r>
            <w:rPr>
              <w:rFonts w:hint="eastAsia" w:cs="宋体"/>
              <w:szCs w:val="28"/>
              <w:lang w:val="en-US" w:eastAsia="zh-CN"/>
            </w:rPr>
            <w:t>树木资源调查</w:t>
          </w:r>
          <w:r>
            <w:tab/>
          </w:r>
          <w:r>
            <w:fldChar w:fldCharType="begin"/>
          </w:r>
          <w:r>
            <w:instrText xml:space="preserve"> PAGEREF _Toc9845 \h </w:instrText>
          </w:r>
          <w:r>
            <w:fldChar w:fldCharType="separate"/>
          </w:r>
          <w:r>
            <w:t>160</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_Toc21646 </w:instrText>
          </w:r>
          <w:r>
            <w:rPr>
              <w:rFonts w:hint="eastAsia" w:ascii="宋体" w:hAnsi="宋体" w:eastAsia="宋体" w:cs="宋体"/>
              <w:szCs w:val="24"/>
            </w:rPr>
            <w:fldChar w:fldCharType="separate"/>
          </w:r>
          <w:r>
            <w:rPr>
              <w:rFonts w:hint="default" w:ascii="宋体" w:hAnsi="宋体" w:eastAsia="宋体" w:cs="宋体"/>
              <w:i w:val="0"/>
              <w:lang w:val="en-US" w:eastAsia="zh-CN"/>
            </w:rPr>
            <w:t xml:space="preserve">16.3. </w:t>
          </w:r>
          <w:r>
            <w:rPr>
              <w:rFonts w:hint="eastAsia" w:ascii="宋体" w:hAnsi="宋体" w:eastAsia="宋体" w:cs="宋体"/>
              <w:lang w:val="en-US" w:eastAsia="zh-CN"/>
            </w:rPr>
            <w:t>树木保护措施</w:t>
          </w:r>
          <w:r>
            <w:tab/>
          </w:r>
          <w:r>
            <w:fldChar w:fldCharType="begin"/>
          </w:r>
          <w:r>
            <w:instrText xml:space="preserve"> PAGEREF _Toc21646 \h </w:instrText>
          </w:r>
          <w:r>
            <w:fldChar w:fldCharType="separate"/>
          </w:r>
          <w:r>
            <w:t>164</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_Toc13642 </w:instrText>
          </w:r>
          <w:r>
            <w:rPr>
              <w:rFonts w:hint="eastAsia" w:ascii="宋体" w:hAnsi="宋体" w:eastAsia="宋体" w:cs="宋体"/>
              <w:szCs w:val="24"/>
            </w:rPr>
            <w:fldChar w:fldCharType="separate"/>
          </w:r>
          <w:r>
            <w:rPr>
              <w:rFonts w:hint="default" w:ascii="宋体" w:hAnsi="宋体" w:eastAsia="宋体" w:cs="宋体"/>
              <w:i w:val="0"/>
              <w:lang w:val="en-US" w:eastAsia="zh-CN"/>
            </w:rPr>
            <w:t xml:space="preserve">16.4. </w:t>
          </w:r>
          <w:r>
            <w:rPr>
              <w:rFonts w:hint="eastAsia" w:ascii="宋体" w:hAnsi="宋体" w:eastAsia="宋体" w:cs="宋体"/>
              <w:lang w:val="en-US" w:eastAsia="zh-CN"/>
            </w:rPr>
            <w:t>树木处理原则</w:t>
          </w:r>
          <w:r>
            <w:tab/>
          </w:r>
          <w:r>
            <w:fldChar w:fldCharType="begin"/>
          </w:r>
          <w:r>
            <w:instrText xml:space="preserve"> PAGEREF _Toc13642 \h </w:instrText>
          </w:r>
          <w:r>
            <w:fldChar w:fldCharType="separate"/>
          </w:r>
          <w:r>
            <w:t>166</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_Toc19823 </w:instrText>
          </w:r>
          <w:r>
            <w:rPr>
              <w:rFonts w:hint="eastAsia" w:ascii="宋体" w:hAnsi="宋体" w:eastAsia="宋体" w:cs="宋体"/>
              <w:szCs w:val="24"/>
            </w:rPr>
            <w:fldChar w:fldCharType="separate"/>
          </w:r>
          <w:r>
            <w:rPr>
              <w:rFonts w:hint="default" w:ascii="宋体" w:hAnsi="宋体" w:eastAsia="宋体" w:cs="宋体"/>
              <w:i w:val="0"/>
              <w:lang w:val="en-US" w:eastAsia="zh-CN"/>
            </w:rPr>
            <w:t xml:space="preserve">16.5. </w:t>
          </w:r>
          <w:r>
            <w:rPr>
              <w:rFonts w:hint="eastAsia" w:ascii="宋体" w:hAnsi="宋体" w:eastAsia="宋体" w:cs="宋体"/>
              <w:lang w:val="en-US" w:eastAsia="zh-CN"/>
            </w:rPr>
            <w:t>树木处理方案</w:t>
          </w:r>
          <w:r>
            <w:tab/>
          </w:r>
          <w:r>
            <w:fldChar w:fldCharType="begin"/>
          </w:r>
          <w:r>
            <w:instrText xml:space="preserve"> PAGEREF _Toc19823 \h </w:instrText>
          </w:r>
          <w:r>
            <w:fldChar w:fldCharType="separate"/>
          </w:r>
          <w:r>
            <w:t>167</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_Toc9128 </w:instrText>
          </w:r>
          <w:r>
            <w:rPr>
              <w:rFonts w:hint="eastAsia" w:ascii="宋体" w:hAnsi="宋体" w:eastAsia="宋体" w:cs="宋体"/>
              <w:szCs w:val="24"/>
            </w:rPr>
            <w:fldChar w:fldCharType="separate"/>
          </w:r>
          <w:r>
            <w:rPr>
              <w:rFonts w:hint="default" w:ascii="宋体" w:hAnsi="宋体" w:eastAsia="宋体" w:cs="宋体"/>
              <w:i w:val="0"/>
              <w:lang w:val="en-US" w:eastAsia="zh-CN"/>
            </w:rPr>
            <w:t xml:space="preserve">16.6. </w:t>
          </w:r>
          <w:r>
            <w:rPr>
              <w:rFonts w:hint="eastAsia" w:ascii="宋体" w:hAnsi="宋体" w:eastAsia="宋体" w:cs="宋体"/>
              <w:lang w:val="en-US" w:eastAsia="zh-CN"/>
            </w:rPr>
            <w:t>树木处理注意事项</w:t>
          </w:r>
          <w:r>
            <w:tab/>
          </w:r>
          <w:r>
            <w:fldChar w:fldCharType="begin"/>
          </w:r>
          <w:r>
            <w:instrText xml:space="preserve"> PAGEREF _Toc9128 \h </w:instrText>
          </w:r>
          <w:r>
            <w:fldChar w:fldCharType="separate"/>
          </w:r>
          <w:r>
            <w:t>168</w:t>
          </w:r>
          <w:r>
            <w:fldChar w:fldCharType="end"/>
          </w:r>
          <w:r>
            <w:rPr>
              <w:rFonts w:hint="eastAsia" w:ascii="宋体" w:hAnsi="宋体" w:eastAsia="宋体" w:cs="宋体"/>
              <w:color w:val="auto"/>
              <w:szCs w:val="24"/>
            </w:rPr>
            <w:fldChar w:fldCharType="end"/>
          </w:r>
        </w:p>
        <w:p>
          <w:pPr>
            <w:pStyle w:val="24"/>
            <w:tabs>
              <w:tab w:val="right" w:leader="dot" w:pos="8459"/>
              <w:tab w:val="clear" w:pos="1260"/>
              <w:tab w:val="clear" w:pos="988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_Toc7153 </w:instrText>
          </w:r>
          <w:r>
            <w:rPr>
              <w:rFonts w:hint="eastAsia" w:ascii="宋体" w:hAnsi="宋体" w:eastAsia="宋体" w:cs="宋体"/>
              <w:szCs w:val="24"/>
            </w:rPr>
            <w:fldChar w:fldCharType="separate"/>
          </w:r>
          <w:r>
            <w:rPr>
              <w:rFonts w:hint="default" w:ascii="宋体" w:hAnsi="宋体" w:eastAsia="宋体" w:cs="宋体"/>
              <w:bCs/>
              <w:i w:val="0"/>
            </w:rPr>
            <w:t xml:space="preserve">第17章 </w:t>
          </w:r>
          <w:r>
            <w:rPr>
              <w:rFonts w:hint="eastAsia" w:cs="宋体"/>
              <w:lang w:eastAsia="zh-CN"/>
            </w:rPr>
            <w:t>历史文化风貌保护</w:t>
          </w:r>
          <w:r>
            <w:tab/>
          </w:r>
          <w:r>
            <w:fldChar w:fldCharType="begin"/>
          </w:r>
          <w:r>
            <w:instrText xml:space="preserve"> PAGEREF _Toc7153 \h </w:instrText>
          </w:r>
          <w:r>
            <w:fldChar w:fldCharType="separate"/>
          </w:r>
          <w:r>
            <w:t>169</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_Toc32102 </w:instrText>
          </w:r>
          <w:r>
            <w:rPr>
              <w:rFonts w:hint="eastAsia" w:ascii="宋体" w:hAnsi="宋体" w:eastAsia="宋体" w:cs="宋体"/>
              <w:szCs w:val="24"/>
            </w:rPr>
            <w:fldChar w:fldCharType="separate"/>
          </w:r>
          <w:r>
            <w:rPr>
              <w:rFonts w:hint="default" w:ascii="宋体" w:hAnsi="宋体" w:eastAsia="宋体" w:cs="宋体"/>
              <w:i w:val="0"/>
            </w:rPr>
            <w:t xml:space="preserve">17.1. </w:t>
          </w:r>
          <w:r>
            <w:rPr>
              <w:rFonts w:hint="eastAsia" w:cs="宋体"/>
              <w:lang w:eastAsia="zh-CN"/>
            </w:rPr>
            <w:t>历史文化风貌保护</w:t>
          </w:r>
          <w:r>
            <w:tab/>
          </w:r>
          <w:r>
            <w:fldChar w:fldCharType="begin"/>
          </w:r>
          <w:r>
            <w:instrText xml:space="preserve"> PAGEREF _Toc32102 \h </w:instrText>
          </w:r>
          <w:r>
            <w:fldChar w:fldCharType="separate"/>
          </w:r>
          <w:r>
            <w:t>169</w:t>
          </w:r>
          <w:r>
            <w:fldChar w:fldCharType="end"/>
          </w:r>
          <w:r>
            <w:rPr>
              <w:rFonts w:hint="eastAsia" w:ascii="宋体" w:hAnsi="宋体" w:eastAsia="宋体" w:cs="宋体"/>
              <w:color w:val="auto"/>
              <w:szCs w:val="24"/>
            </w:rPr>
            <w:fldChar w:fldCharType="end"/>
          </w:r>
        </w:p>
        <w:p>
          <w:pPr>
            <w:pStyle w:val="24"/>
            <w:tabs>
              <w:tab w:val="right" w:leader="dot" w:pos="8459"/>
              <w:tab w:val="clear" w:pos="1260"/>
              <w:tab w:val="clear" w:pos="988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_Toc2181 </w:instrText>
          </w:r>
          <w:r>
            <w:rPr>
              <w:rFonts w:hint="eastAsia" w:ascii="宋体" w:hAnsi="宋体" w:eastAsia="宋体" w:cs="宋体"/>
              <w:szCs w:val="24"/>
            </w:rPr>
            <w:fldChar w:fldCharType="separate"/>
          </w:r>
          <w:r>
            <w:rPr>
              <w:rFonts w:hint="default" w:ascii="宋体" w:hAnsi="宋体" w:eastAsia="宋体" w:cs="宋体"/>
              <w:bCs/>
              <w:i w:val="0"/>
            </w:rPr>
            <w:t xml:space="preserve">第18章 </w:t>
          </w:r>
          <w:r>
            <w:rPr>
              <w:rFonts w:hint="eastAsia" w:cs="宋体"/>
            </w:rPr>
            <w:t>防范大规模拆建</w:t>
          </w:r>
          <w:r>
            <w:tab/>
          </w:r>
          <w:r>
            <w:fldChar w:fldCharType="begin"/>
          </w:r>
          <w:r>
            <w:instrText xml:space="preserve"> PAGEREF _Toc2181 \h </w:instrText>
          </w:r>
          <w:r>
            <w:fldChar w:fldCharType="separate"/>
          </w:r>
          <w:r>
            <w:t>170</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_Toc28001 </w:instrText>
          </w:r>
          <w:r>
            <w:rPr>
              <w:rFonts w:hint="eastAsia" w:ascii="宋体" w:hAnsi="宋体" w:eastAsia="宋体" w:cs="宋体"/>
              <w:szCs w:val="24"/>
            </w:rPr>
            <w:fldChar w:fldCharType="separate"/>
          </w:r>
          <w:r>
            <w:rPr>
              <w:rFonts w:hint="default" w:ascii="宋体" w:hAnsi="宋体" w:eastAsia="宋体" w:cs="宋体"/>
              <w:i w:val="0"/>
            </w:rPr>
            <w:t xml:space="preserve">18.1. </w:t>
          </w:r>
          <w:r>
            <w:rPr>
              <w:rFonts w:hint="eastAsia" w:cs="宋体"/>
            </w:rPr>
            <w:t>防范大规模拆建</w:t>
          </w:r>
          <w:r>
            <w:tab/>
          </w:r>
          <w:r>
            <w:fldChar w:fldCharType="begin"/>
          </w:r>
          <w:r>
            <w:instrText xml:space="preserve"> PAGEREF _Toc28001 \h </w:instrText>
          </w:r>
          <w:r>
            <w:fldChar w:fldCharType="separate"/>
          </w:r>
          <w:r>
            <w:t>170</w:t>
          </w:r>
          <w:r>
            <w:fldChar w:fldCharType="end"/>
          </w:r>
          <w:r>
            <w:rPr>
              <w:rFonts w:hint="eastAsia" w:ascii="宋体" w:hAnsi="宋体" w:eastAsia="宋体" w:cs="宋体"/>
              <w:color w:val="auto"/>
              <w:szCs w:val="24"/>
            </w:rPr>
            <w:fldChar w:fldCharType="end"/>
          </w:r>
        </w:p>
        <w:p>
          <w:pPr>
            <w:pStyle w:val="24"/>
            <w:tabs>
              <w:tab w:val="right" w:leader="dot" w:pos="8459"/>
              <w:tab w:val="clear" w:pos="1260"/>
              <w:tab w:val="clear" w:pos="988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_Toc11796 </w:instrText>
          </w:r>
          <w:r>
            <w:rPr>
              <w:rFonts w:hint="eastAsia" w:ascii="宋体" w:hAnsi="宋体" w:eastAsia="宋体" w:cs="宋体"/>
              <w:szCs w:val="24"/>
            </w:rPr>
            <w:fldChar w:fldCharType="separate"/>
          </w:r>
          <w:r>
            <w:rPr>
              <w:rFonts w:hint="default" w:ascii="宋体" w:hAnsi="宋体" w:eastAsia="宋体" w:cs="宋体"/>
              <w:bCs/>
              <w:i w:val="0"/>
              <w:szCs w:val="40"/>
            </w:rPr>
            <w:t xml:space="preserve">第19章 </w:t>
          </w:r>
          <w:r>
            <w:rPr>
              <w:rFonts w:hint="eastAsia" w:cs="宋体"/>
              <w:szCs w:val="40"/>
              <w:lang w:eastAsia="zh-CN"/>
            </w:rPr>
            <w:t>工程投资</w:t>
          </w:r>
          <w:r>
            <w:tab/>
          </w:r>
          <w:r>
            <w:fldChar w:fldCharType="begin"/>
          </w:r>
          <w:r>
            <w:instrText xml:space="preserve"> PAGEREF _Toc11796 \h </w:instrText>
          </w:r>
          <w:r>
            <w:fldChar w:fldCharType="separate"/>
          </w:r>
          <w:r>
            <w:t>171</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_Toc22610 </w:instrText>
          </w:r>
          <w:r>
            <w:rPr>
              <w:rFonts w:hint="eastAsia" w:ascii="宋体" w:hAnsi="宋体" w:eastAsia="宋体" w:cs="宋体"/>
              <w:szCs w:val="24"/>
            </w:rPr>
            <w:fldChar w:fldCharType="separate"/>
          </w:r>
          <w:r>
            <w:rPr>
              <w:rFonts w:hint="default" w:ascii="宋体" w:hAnsi="宋体" w:eastAsia="宋体" w:cs="宋体"/>
              <w:i w:val="0"/>
              <w:szCs w:val="28"/>
            </w:rPr>
            <w:t xml:space="preserve">19.1. </w:t>
          </w:r>
          <w:r>
            <w:rPr>
              <w:rFonts w:cs="宋体" w:asciiTheme="minorEastAsia" w:hAnsiTheme="minorEastAsia" w:eastAsiaTheme="minorEastAsia"/>
              <w:szCs w:val="28"/>
            </w:rPr>
            <w:t>编制范围</w:t>
          </w:r>
          <w:r>
            <w:tab/>
          </w:r>
          <w:r>
            <w:fldChar w:fldCharType="begin"/>
          </w:r>
          <w:r>
            <w:instrText xml:space="preserve"> PAGEREF _Toc22610 \h </w:instrText>
          </w:r>
          <w:r>
            <w:fldChar w:fldCharType="separate"/>
          </w:r>
          <w:r>
            <w:t>171</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_Toc9735 </w:instrText>
          </w:r>
          <w:r>
            <w:rPr>
              <w:rFonts w:hint="eastAsia" w:ascii="宋体" w:hAnsi="宋体" w:eastAsia="宋体" w:cs="宋体"/>
              <w:szCs w:val="24"/>
            </w:rPr>
            <w:fldChar w:fldCharType="separate"/>
          </w:r>
          <w:r>
            <w:rPr>
              <w:rFonts w:hint="default" w:ascii="宋体" w:hAnsi="宋体" w:eastAsia="宋体" w:cs="宋体"/>
              <w:i w:val="0"/>
              <w:szCs w:val="28"/>
            </w:rPr>
            <w:t xml:space="preserve">19.2. </w:t>
          </w:r>
          <w:r>
            <w:rPr>
              <w:rFonts w:cs="宋体" w:asciiTheme="minorEastAsia" w:hAnsiTheme="minorEastAsia" w:eastAsiaTheme="minorEastAsia"/>
              <w:szCs w:val="28"/>
            </w:rPr>
            <w:t>编制依据</w:t>
          </w:r>
          <w:r>
            <w:tab/>
          </w:r>
          <w:r>
            <w:fldChar w:fldCharType="begin"/>
          </w:r>
          <w:r>
            <w:instrText xml:space="preserve"> PAGEREF _Toc9735 \h </w:instrText>
          </w:r>
          <w:r>
            <w:fldChar w:fldCharType="separate"/>
          </w:r>
          <w:r>
            <w:t>171</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_Toc25419 </w:instrText>
          </w:r>
          <w:r>
            <w:rPr>
              <w:rFonts w:hint="eastAsia" w:ascii="宋体" w:hAnsi="宋体" w:eastAsia="宋体" w:cs="宋体"/>
              <w:szCs w:val="24"/>
            </w:rPr>
            <w:fldChar w:fldCharType="separate"/>
          </w:r>
          <w:r>
            <w:rPr>
              <w:rFonts w:hint="default" w:ascii="宋体" w:hAnsi="宋体" w:eastAsia="宋体" w:cs="宋体"/>
              <w:i w:val="0"/>
              <w:szCs w:val="28"/>
              <w:lang w:val="en-US" w:eastAsia="zh-CN"/>
            </w:rPr>
            <w:t xml:space="preserve">19.3. </w:t>
          </w:r>
          <w:r>
            <w:rPr>
              <w:rFonts w:hint="eastAsia" w:cs="宋体" w:asciiTheme="minorEastAsia" w:hAnsiTheme="minorEastAsia" w:eastAsiaTheme="minorEastAsia"/>
              <w:szCs w:val="28"/>
              <w:lang w:val="en-US" w:eastAsia="zh-CN"/>
            </w:rPr>
            <w:t>工程投资概算</w:t>
          </w:r>
          <w:r>
            <w:tab/>
          </w:r>
          <w:r>
            <w:fldChar w:fldCharType="begin"/>
          </w:r>
          <w:r>
            <w:instrText xml:space="preserve"> PAGEREF _Toc25419 \h </w:instrText>
          </w:r>
          <w:r>
            <w:fldChar w:fldCharType="separate"/>
          </w:r>
          <w:r>
            <w:t>172</w:t>
          </w:r>
          <w:r>
            <w:fldChar w:fldCharType="end"/>
          </w:r>
          <w:r>
            <w:rPr>
              <w:rFonts w:hint="eastAsia" w:ascii="宋体" w:hAnsi="宋体" w:eastAsia="宋体" w:cs="宋体"/>
              <w:color w:val="auto"/>
              <w:szCs w:val="24"/>
            </w:rPr>
            <w:fldChar w:fldCharType="end"/>
          </w:r>
        </w:p>
        <w:p>
          <w:pPr>
            <w:pStyle w:val="24"/>
            <w:tabs>
              <w:tab w:val="right" w:leader="dot" w:pos="8459"/>
              <w:tab w:val="clear" w:pos="1260"/>
              <w:tab w:val="clear" w:pos="988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_Toc21832 </w:instrText>
          </w:r>
          <w:r>
            <w:rPr>
              <w:rFonts w:hint="eastAsia" w:ascii="宋体" w:hAnsi="宋体" w:eastAsia="宋体" w:cs="宋体"/>
              <w:szCs w:val="24"/>
            </w:rPr>
            <w:fldChar w:fldCharType="separate"/>
          </w:r>
          <w:r>
            <w:rPr>
              <w:rFonts w:hint="default" w:ascii="宋体" w:hAnsi="宋体" w:eastAsia="宋体" w:cs="宋体"/>
              <w:bCs/>
              <w:i w:val="0"/>
              <w:szCs w:val="40"/>
            </w:rPr>
            <w:t xml:space="preserve">第20章 </w:t>
          </w:r>
          <w:r>
            <w:rPr>
              <w:rFonts w:hint="eastAsia" w:cs="宋体"/>
              <w:szCs w:val="40"/>
            </w:rPr>
            <w:t>海绵城市</w:t>
          </w:r>
          <w:r>
            <w:tab/>
          </w:r>
          <w:r>
            <w:fldChar w:fldCharType="begin"/>
          </w:r>
          <w:r>
            <w:instrText xml:space="preserve"> PAGEREF _Toc21832 \h </w:instrText>
          </w:r>
          <w:r>
            <w:fldChar w:fldCharType="separate"/>
          </w:r>
          <w:r>
            <w:t>173</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_Toc27431 </w:instrText>
          </w:r>
          <w:r>
            <w:rPr>
              <w:rFonts w:hint="eastAsia" w:ascii="宋体" w:hAnsi="宋体" w:eastAsia="宋体" w:cs="宋体"/>
              <w:szCs w:val="24"/>
            </w:rPr>
            <w:fldChar w:fldCharType="separate"/>
          </w:r>
          <w:r>
            <w:rPr>
              <w:rFonts w:hint="default" w:ascii="宋体" w:hAnsi="宋体" w:eastAsia="宋体" w:cs="宋体"/>
              <w:i w:val="0"/>
              <w:szCs w:val="28"/>
            </w:rPr>
            <w:t xml:space="preserve">20.1. </w:t>
          </w:r>
          <w:r>
            <w:rPr>
              <w:rFonts w:hint="eastAsia" w:cs="宋体"/>
              <w:szCs w:val="28"/>
              <w:lang w:eastAsia="zh-CN"/>
            </w:rPr>
            <w:t>污水管渠的海绵城市设计</w:t>
          </w:r>
          <w:r>
            <w:tab/>
          </w:r>
          <w:r>
            <w:fldChar w:fldCharType="begin"/>
          </w:r>
          <w:r>
            <w:instrText xml:space="preserve"> PAGEREF _Toc27431 \h </w:instrText>
          </w:r>
          <w:r>
            <w:fldChar w:fldCharType="separate"/>
          </w:r>
          <w:r>
            <w:t>173</w:t>
          </w:r>
          <w:r>
            <w:fldChar w:fldCharType="end"/>
          </w:r>
          <w:r>
            <w:rPr>
              <w:rFonts w:hint="eastAsia" w:ascii="宋体" w:hAnsi="宋体" w:eastAsia="宋体" w:cs="宋体"/>
              <w:color w:val="auto"/>
              <w:szCs w:val="24"/>
            </w:rPr>
            <w:fldChar w:fldCharType="end"/>
          </w:r>
        </w:p>
        <w:p>
          <w:pPr>
            <w:pStyle w:val="24"/>
            <w:tabs>
              <w:tab w:val="right" w:leader="dot" w:pos="8459"/>
              <w:tab w:val="clear" w:pos="1260"/>
              <w:tab w:val="clear" w:pos="988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_Toc27253 </w:instrText>
          </w:r>
          <w:r>
            <w:rPr>
              <w:rFonts w:hint="eastAsia" w:ascii="宋体" w:hAnsi="宋体" w:eastAsia="宋体" w:cs="宋体"/>
              <w:szCs w:val="24"/>
            </w:rPr>
            <w:fldChar w:fldCharType="separate"/>
          </w:r>
          <w:r>
            <w:rPr>
              <w:rFonts w:hint="default" w:ascii="宋体" w:hAnsi="宋体" w:eastAsia="宋体" w:cs="宋体"/>
              <w:bCs/>
              <w:i w:val="0"/>
              <w:szCs w:val="40"/>
            </w:rPr>
            <w:t xml:space="preserve">第21章 </w:t>
          </w:r>
          <w:r>
            <w:rPr>
              <w:rFonts w:cs="宋体"/>
              <w:szCs w:val="40"/>
            </w:rPr>
            <w:t>结论与建议</w:t>
          </w:r>
          <w:r>
            <w:tab/>
          </w:r>
          <w:r>
            <w:fldChar w:fldCharType="begin"/>
          </w:r>
          <w:r>
            <w:instrText xml:space="preserve"> PAGEREF _Toc27253 \h </w:instrText>
          </w:r>
          <w:r>
            <w:fldChar w:fldCharType="separate"/>
          </w:r>
          <w:r>
            <w:t>175</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_Toc23668 </w:instrText>
          </w:r>
          <w:r>
            <w:rPr>
              <w:rFonts w:hint="eastAsia" w:ascii="宋体" w:hAnsi="宋体" w:eastAsia="宋体" w:cs="宋体"/>
              <w:szCs w:val="24"/>
            </w:rPr>
            <w:fldChar w:fldCharType="separate"/>
          </w:r>
          <w:r>
            <w:rPr>
              <w:rFonts w:hint="default" w:ascii="宋体" w:hAnsi="宋体" w:eastAsia="宋体" w:cs="宋体"/>
              <w:i w:val="0"/>
              <w:szCs w:val="28"/>
            </w:rPr>
            <w:t xml:space="preserve">21.1. </w:t>
          </w:r>
          <w:r>
            <w:rPr>
              <w:rFonts w:cs="宋体" w:asciiTheme="minorEastAsia" w:hAnsiTheme="minorEastAsia" w:eastAsiaTheme="minorEastAsia"/>
              <w:szCs w:val="28"/>
            </w:rPr>
            <w:t>结论</w:t>
          </w:r>
          <w:r>
            <w:tab/>
          </w:r>
          <w:r>
            <w:fldChar w:fldCharType="begin"/>
          </w:r>
          <w:r>
            <w:instrText xml:space="preserve"> PAGEREF _Toc23668 \h </w:instrText>
          </w:r>
          <w:r>
            <w:fldChar w:fldCharType="separate"/>
          </w:r>
          <w:r>
            <w:t>175</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_Toc24236 </w:instrText>
          </w:r>
          <w:r>
            <w:rPr>
              <w:rFonts w:hint="eastAsia" w:ascii="宋体" w:hAnsi="宋体" w:eastAsia="宋体" w:cs="宋体"/>
              <w:szCs w:val="24"/>
            </w:rPr>
            <w:fldChar w:fldCharType="separate"/>
          </w:r>
          <w:r>
            <w:rPr>
              <w:rFonts w:hint="default" w:ascii="宋体" w:hAnsi="宋体" w:eastAsia="宋体" w:cs="宋体"/>
              <w:i w:val="0"/>
              <w:szCs w:val="28"/>
            </w:rPr>
            <w:t xml:space="preserve">21.2. </w:t>
          </w:r>
          <w:r>
            <w:rPr>
              <w:rFonts w:cs="宋体" w:asciiTheme="minorEastAsia" w:hAnsiTheme="minorEastAsia" w:eastAsiaTheme="minorEastAsia"/>
              <w:szCs w:val="28"/>
            </w:rPr>
            <w:t>建议</w:t>
          </w:r>
          <w:r>
            <w:tab/>
          </w:r>
          <w:r>
            <w:fldChar w:fldCharType="begin"/>
          </w:r>
          <w:r>
            <w:instrText xml:space="preserve"> PAGEREF _Toc24236 \h </w:instrText>
          </w:r>
          <w:r>
            <w:fldChar w:fldCharType="separate"/>
          </w:r>
          <w:r>
            <w:t>175</w:t>
          </w:r>
          <w:r>
            <w:fldChar w:fldCharType="end"/>
          </w:r>
          <w:r>
            <w:rPr>
              <w:rFonts w:hint="eastAsia" w:ascii="宋体" w:hAnsi="宋体" w:eastAsia="宋体" w:cs="宋体"/>
              <w:color w:val="auto"/>
              <w:szCs w:val="24"/>
            </w:rPr>
            <w:fldChar w:fldCharType="end"/>
          </w:r>
        </w:p>
        <w:p>
          <w:pPr>
            <w:pStyle w:val="26"/>
            <w:tabs>
              <w:tab w:val="right" w:leader="dot" w:pos="8459"/>
            </w:tabs>
          </w:pPr>
          <w:r>
            <w:rPr>
              <w:rFonts w:hint="eastAsia" w:ascii="宋体" w:hAnsi="宋体" w:eastAsia="宋体" w:cs="宋体"/>
              <w:color w:val="auto"/>
              <w:szCs w:val="24"/>
            </w:rPr>
            <w:fldChar w:fldCharType="begin"/>
          </w:r>
          <w:r>
            <w:rPr>
              <w:rFonts w:hint="eastAsia" w:ascii="宋体" w:hAnsi="宋体" w:eastAsia="宋体" w:cs="宋体"/>
              <w:szCs w:val="24"/>
            </w:rPr>
            <w:instrText xml:space="preserve"> HYPERLINK \l _Toc6041 </w:instrText>
          </w:r>
          <w:r>
            <w:rPr>
              <w:rFonts w:hint="eastAsia" w:ascii="宋体" w:hAnsi="宋体" w:eastAsia="宋体" w:cs="宋体"/>
              <w:szCs w:val="24"/>
            </w:rPr>
            <w:fldChar w:fldCharType="separate"/>
          </w:r>
          <w:r>
            <w:rPr>
              <w:rFonts w:hint="default" w:ascii="宋体" w:hAnsi="宋体" w:eastAsia="宋体" w:cs="宋体"/>
              <w:i w:val="0"/>
              <w:szCs w:val="28"/>
            </w:rPr>
            <w:t xml:space="preserve">21.3. </w:t>
          </w:r>
          <w:r>
            <w:rPr>
              <w:rFonts w:hint="eastAsia" w:cs="宋体" w:asciiTheme="minorEastAsia" w:hAnsiTheme="minorEastAsia" w:eastAsiaTheme="minorEastAsia"/>
              <w:szCs w:val="28"/>
              <w:lang w:eastAsia="zh-CN"/>
            </w:rPr>
            <w:t>附件</w:t>
          </w:r>
          <w:r>
            <w:tab/>
          </w:r>
          <w:r>
            <w:fldChar w:fldCharType="begin"/>
          </w:r>
          <w:r>
            <w:instrText xml:space="preserve"> PAGEREF _Toc6041 \h </w:instrText>
          </w:r>
          <w:r>
            <w:fldChar w:fldCharType="separate"/>
          </w:r>
          <w:r>
            <w:t>175</w:t>
          </w:r>
          <w:r>
            <w:fldChar w:fldCharType="end"/>
          </w:r>
          <w:r>
            <w:rPr>
              <w:rFonts w:hint="eastAsia" w:ascii="宋体" w:hAnsi="宋体" w:eastAsia="宋体" w:cs="宋体"/>
              <w:color w:val="auto"/>
              <w:szCs w:val="24"/>
            </w:rPr>
            <w:fldChar w:fldCharType="end"/>
          </w:r>
        </w:p>
        <w:p>
          <w:pPr>
            <w:keepNext w:val="0"/>
            <w:keepLines w:val="0"/>
            <w:pageBreakBefore w:val="0"/>
            <w:widowControl/>
            <w:kinsoku/>
            <w:wordWrap/>
            <w:overflowPunct/>
            <w:topLinePunct w:val="0"/>
            <w:autoSpaceDE/>
            <w:autoSpaceDN/>
            <w:bidi w:val="0"/>
            <w:adjustRightInd/>
            <w:snapToGrid w:val="0"/>
            <w:spacing w:line="240" w:lineRule="auto"/>
            <w:ind w:left="0" w:leftChars="0" w:firstLine="0" w:firstLineChars="0"/>
            <w:textAlignment w:val="auto"/>
            <w:rPr>
              <w:rFonts w:hint="eastAsia" w:ascii="宋体" w:hAnsi="宋体" w:eastAsia="宋体" w:cs="宋体"/>
              <w:color w:val="auto"/>
              <w:sz w:val="22"/>
              <w:szCs w:val="20"/>
            </w:rPr>
          </w:pPr>
          <w:r>
            <w:rPr>
              <w:rFonts w:hint="eastAsia" w:ascii="宋体" w:hAnsi="宋体" w:eastAsia="宋体" w:cs="宋体"/>
              <w:color w:val="auto"/>
              <w:szCs w:val="24"/>
            </w:rPr>
            <w:fldChar w:fldCharType="end"/>
          </w:r>
        </w:p>
      </w:sdtContent>
    </w:sdt>
    <w:p>
      <w:pPr>
        <w:pStyle w:val="38"/>
        <w:rPr>
          <w:rFonts w:cs="宋体"/>
          <w:color w:val="auto"/>
          <w:sz w:val="32"/>
          <w:szCs w:val="40"/>
        </w:rPr>
        <w:sectPr>
          <w:headerReference r:id="rId7" w:type="default"/>
          <w:pgSz w:w="11906" w:h="16838"/>
          <w:pgMar w:top="1080" w:right="1440" w:bottom="1080" w:left="1440" w:header="851" w:footer="992" w:gutter="567"/>
          <w:pgBorders>
            <w:top w:val="none" w:sz="0" w:space="0"/>
            <w:left w:val="none" w:sz="0" w:space="0"/>
            <w:bottom w:val="none" w:sz="0" w:space="0"/>
            <w:right w:val="none" w:sz="0" w:space="0"/>
          </w:pgBorders>
          <w:pgNumType w:fmt="decimal" w:start="1"/>
          <w:cols w:space="425" w:num="1"/>
          <w:docGrid w:type="linesAndChars" w:linePitch="388" w:charSpace="526"/>
        </w:sectPr>
      </w:pPr>
    </w:p>
    <w:p>
      <w:pPr>
        <w:pStyle w:val="38"/>
        <w:rPr>
          <w:rFonts w:hint="default" w:eastAsia="宋体" w:cs="宋体"/>
          <w:color w:val="auto"/>
          <w:lang w:val="en-US" w:eastAsia="zh-CN"/>
        </w:rPr>
      </w:pPr>
      <w:bookmarkStart w:id="0" w:name="_Toc23543"/>
      <w:r>
        <w:rPr>
          <w:rFonts w:hint="eastAsia" w:cs="宋体"/>
          <w:color w:val="auto"/>
          <w:sz w:val="32"/>
          <w:szCs w:val="40"/>
        </w:rPr>
        <w:t>概述</w:t>
      </w:r>
      <w:bookmarkEnd w:id="0"/>
    </w:p>
    <w:p>
      <w:pPr>
        <w:pStyle w:val="39"/>
        <w:rPr>
          <w:rFonts w:cs="宋体" w:asciiTheme="minorEastAsia" w:hAnsiTheme="minorEastAsia" w:eastAsiaTheme="minorEastAsia"/>
          <w:color w:val="auto"/>
          <w:sz w:val="28"/>
          <w:szCs w:val="28"/>
        </w:rPr>
      </w:pPr>
      <w:bookmarkStart w:id="1" w:name="_Toc15816"/>
      <w:bookmarkStart w:id="2" w:name="_Toc29151"/>
      <w:r>
        <w:rPr>
          <w:rFonts w:hint="eastAsia" w:cs="宋体" w:asciiTheme="minorEastAsia" w:hAnsiTheme="minorEastAsia" w:eastAsiaTheme="minorEastAsia"/>
          <w:color w:val="auto"/>
          <w:sz w:val="28"/>
          <w:szCs w:val="28"/>
        </w:rPr>
        <w:t>项目</w:t>
      </w:r>
      <w:r>
        <w:rPr>
          <w:rFonts w:cs="宋体" w:asciiTheme="minorEastAsia" w:hAnsiTheme="minorEastAsia" w:eastAsiaTheme="minorEastAsia"/>
          <w:color w:val="auto"/>
          <w:sz w:val="28"/>
          <w:szCs w:val="28"/>
        </w:rPr>
        <w:t>概况</w:t>
      </w:r>
      <w:bookmarkEnd w:id="1"/>
      <w:bookmarkEnd w:id="2"/>
    </w:p>
    <w:p>
      <w:pPr>
        <w:ind w:firstLine="565"/>
        <w:rPr>
          <w:rFonts w:hint="eastAsia" w:cs="宋体" w:asciiTheme="minorEastAsia" w:hAnsiTheme="minorEastAsia" w:eastAsiaTheme="minorEastAsia"/>
          <w:color w:val="auto"/>
          <w:sz w:val="28"/>
          <w:szCs w:val="21"/>
          <w:lang w:eastAsia="zh-CN"/>
        </w:rPr>
      </w:pPr>
      <w:r>
        <w:rPr>
          <w:rFonts w:cs="宋体" w:asciiTheme="minorEastAsia" w:hAnsiTheme="minorEastAsia" w:eastAsiaTheme="minorEastAsia"/>
          <w:color w:val="auto"/>
          <w:sz w:val="28"/>
          <w:szCs w:val="21"/>
        </w:rPr>
        <w:t>项目名称：</w:t>
      </w:r>
      <w:r>
        <w:rPr>
          <w:rFonts w:hint="eastAsia" w:cs="宋体" w:asciiTheme="minorEastAsia" w:hAnsiTheme="minorEastAsia" w:eastAsiaTheme="minorEastAsia"/>
          <w:color w:val="auto"/>
          <w:sz w:val="28"/>
          <w:szCs w:val="21"/>
          <w:lang w:eastAsia="zh-CN"/>
        </w:rPr>
        <w:t>从化区江埔街Y523片区雨污分流工程</w:t>
      </w:r>
    </w:p>
    <w:p>
      <w:pPr>
        <w:ind w:firstLine="565"/>
        <w:rPr>
          <w:rFonts w:hint="eastAsia" w:cs="宋体" w:asciiTheme="minorEastAsia" w:hAnsiTheme="minorEastAsia" w:eastAsiaTheme="minorEastAsia"/>
          <w:color w:val="auto"/>
          <w:sz w:val="28"/>
          <w:szCs w:val="21"/>
          <w:lang w:val="en-US" w:eastAsia="zh-CN"/>
        </w:rPr>
      </w:pPr>
      <w:r>
        <w:rPr>
          <w:rFonts w:cs="宋体" w:asciiTheme="minorEastAsia" w:hAnsiTheme="minorEastAsia" w:eastAsiaTheme="minorEastAsia"/>
          <w:color w:val="auto"/>
          <w:sz w:val="28"/>
          <w:szCs w:val="21"/>
        </w:rPr>
        <w:t>项目地点：从化区</w:t>
      </w:r>
      <w:r>
        <w:rPr>
          <w:rFonts w:hint="eastAsia" w:cs="宋体" w:asciiTheme="minorEastAsia" w:hAnsiTheme="minorEastAsia" w:eastAsiaTheme="minorEastAsia"/>
          <w:color w:val="auto"/>
          <w:sz w:val="28"/>
          <w:szCs w:val="21"/>
          <w:lang w:eastAsia="zh-CN"/>
        </w:rPr>
        <w:t>江埔街Y523，自</w:t>
      </w:r>
      <w:r>
        <w:rPr>
          <w:rFonts w:hint="eastAsia" w:cs="宋体" w:asciiTheme="minorEastAsia" w:hAnsiTheme="minorEastAsia" w:eastAsiaTheme="minorEastAsia"/>
          <w:color w:val="auto"/>
          <w:sz w:val="28"/>
          <w:szCs w:val="21"/>
          <w:lang w:val="en-US" w:eastAsia="zh-CN"/>
        </w:rPr>
        <w:t>Y523与G105国道交界处，至Y523广州市村家富食品有限公司段。</w:t>
      </w:r>
    </w:p>
    <w:p>
      <w:pPr>
        <w:pStyle w:val="12"/>
        <w:ind w:left="0" w:leftChars="0" w:firstLine="0" w:firstLineChars="0"/>
        <w:rPr>
          <w:color w:val="auto"/>
        </w:rPr>
      </w:pPr>
      <w:r>
        <w:rPr>
          <w:color w:val="auto"/>
        </w:rPr>
        <w:drawing>
          <wp:inline distT="0" distB="0" distL="114300" distR="114300">
            <wp:extent cx="5577205" cy="4305300"/>
            <wp:effectExtent l="0" t="0" r="4445"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19"/>
                    <a:stretch>
                      <a:fillRect/>
                    </a:stretch>
                  </pic:blipFill>
                  <pic:spPr>
                    <a:xfrm>
                      <a:off x="0" y="0"/>
                      <a:ext cx="5577205" cy="4305300"/>
                    </a:xfrm>
                    <a:prstGeom prst="rect">
                      <a:avLst/>
                    </a:prstGeom>
                    <a:noFill/>
                    <a:ln>
                      <a:noFill/>
                    </a:ln>
                  </pic:spPr>
                </pic:pic>
              </a:graphicData>
            </a:graphic>
          </wp:inline>
        </w:drawing>
      </w:r>
    </w:p>
    <w:p>
      <w:pPr>
        <w:pStyle w:val="91"/>
        <w:bidi w:val="0"/>
        <w:rPr>
          <w:rFonts w:cs="宋体"/>
          <w:color w:val="auto"/>
        </w:rPr>
      </w:pPr>
      <w:r>
        <w:rPr>
          <w:rFonts w:hint="eastAsia" w:cs="宋体"/>
          <w:color w:val="auto"/>
          <w:lang w:val="en-US" w:eastAsia="zh-CN"/>
        </w:rPr>
        <w:t>Y523片区区位</w:t>
      </w:r>
      <w:r>
        <w:rPr>
          <w:rFonts w:cs="宋体"/>
          <w:color w:val="auto"/>
        </w:rPr>
        <w:t>图</w:t>
      </w:r>
    </w:p>
    <w:p>
      <w:pPr>
        <w:ind w:firstLine="565"/>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rPr>
        <w:t>建设单位：</w:t>
      </w:r>
      <w:r>
        <w:rPr>
          <w:rFonts w:hint="eastAsia" w:ascii="Times New Roman" w:hAnsi="Times New Roman" w:cs="宋体" w:eastAsiaTheme="minorEastAsia"/>
          <w:color w:val="auto"/>
          <w:sz w:val="28"/>
          <w:szCs w:val="21"/>
          <w:lang w:eastAsia="zh-CN"/>
        </w:rPr>
        <w:t>广州市从化区水务建设中心</w:t>
      </w:r>
    </w:p>
    <w:p>
      <w:pPr>
        <w:pStyle w:val="12"/>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eastAsia="zh-CN"/>
        </w:rPr>
        <w:t>项目建设内容：本项目拟新建污水主干管，雨水管道沿用原道路两侧雨水边沟，为沿线排水单元提供市政接驳条件。并改造沿线机关事业单位（含学校、医院）属财政出资的排水单元。</w:t>
      </w:r>
    </w:p>
    <w:p>
      <w:pPr>
        <w:pStyle w:val="12"/>
        <w:rPr>
          <w:rFonts w:hint="eastAsia" w:cs="宋体" w:asciiTheme="minorEastAsia" w:hAnsiTheme="minorEastAsia" w:eastAsiaTheme="minorEastAsia"/>
          <w:color w:val="auto"/>
          <w:sz w:val="28"/>
          <w:szCs w:val="21"/>
          <w:lang w:val="en-US" w:eastAsia="zh-CN"/>
        </w:rPr>
      </w:pPr>
      <w:bookmarkStart w:id="3" w:name="_Toc3170"/>
      <w:r>
        <w:rPr>
          <w:rFonts w:hint="eastAsia"/>
          <w:color w:val="auto"/>
          <w:lang w:val="en-US" w:eastAsia="zh-CN"/>
        </w:rPr>
        <w:t>建设目标：</w:t>
      </w:r>
      <w:r>
        <w:rPr>
          <w:rFonts w:hint="eastAsia" w:cs="宋体" w:asciiTheme="minorEastAsia" w:hAnsiTheme="minorEastAsia" w:eastAsiaTheme="minorEastAsia"/>
          <w:color w:val="auto"/>
          <w:sz w:val="28"/>
          <w:szCs w:val="21"/>
          <w:lang w:val="en-US" w:eastAsia="zh-CN"/>
        </w:rPr>
        <w:t>Y523片区为合流区，排水系统完善度不高，排水单元并不能满足达标建设要求，现状合流管道晴天时多为污水通道，雨天时管道负荷增大，本项目建设目标如下：</w:t>
      </w:r>
    </w:p>
    <w:p>
      <w:pPr>
        <w:pStyle w:val="12"/>
        <w:ind w:firstLine="480"/>
        <w:rPr>
          <w:rFonts w:hint="eastAsia" w:ascii="宋体" w:hAnsi="宋体" w:eastAsia="宋体" w:cs="宋体"/>
          <w:color w:val="auto"/>
          <w:kern w:val="0"/>
          <w:sz w:val="28"/>
          <w:szCs w:val="28"/>
          <w:lang w:val="en-US" w:eastAsia="zh-CN" w:bidi="ar"/>
        </w:rPr>
      </w:pPr>
      <w:r>
        <w:rPr>
          <w:rFonts w:hint="eastAsia" w:ascii="宋体" w:hAnsi="宋体" w:eastAsia="宋体" w:cs="宋体"/>
          <w:color w:val="auto"/>
          <w:kern w:val="0"/>
          <w:sz w:val="28"/>
          <w:szCs w:val="28"/>
          <w:lang w:val="en-US" w:eastAsia="zh-CN" w:bidi="ar"/>
        </w:rPr>
        <w:t>（1）完善片区内市政管网布局，实现市政管道雨污分流，</w:t>
      </w:r>
      <w:r>
        <w:rPr>
          <w:rFonts w:hint="eastAsia" w:ascii="宋体" w:hAnsi="宋体" w:cs="宋体"/>
          <w:color w:val="auto"/>
          <w:kern w:val="0"/>
          <w:sz w:val="28"/>
          <w:szCs w:val="28"/>
          <w:lang w:val="en-US" w:eastAsia="zh-CN" w:bidi="ar"/>
        </w:rPr>
        <w:t>提高中心城区市政污水管网覆盖率，完善城市污水系统，</w:t>
      </w:r>
      <w:r>
        <w:rPr>
          <w:rFonts w:hint="eastAsia" w:ascii="宋体" w:hAnsi="宋体" w:eastAsia="宋体" w:cs="宋体"/>
          <w:color w:val="auto"/>
          <w:kern w:val="0"/>
          <w:sz w:val="28"/>
          <w:szCs w:val="28"/>
          <w:lang w:val="en-US" w:eastAsia="zh-CN" w:bidi="ar"/>
        </w:rPr>
        <w:t>进而为周边排水单元达标实施提供接驳条件；</w:t>
      </w:r>
    </w:p>
    <w:p>
      <w:pPr>
        <w:pStyle w:val="12"/>
        <w:ind w:firstLine="480"/>
        <w:rPr>
          <w:rFonts w:hint="eastAsia" w:ascii="宋体" w:hAnsi="宋体" w:eastAsia="宋体" w:cs="宋体"/>
          <w:color w:val="auto"/>
          <w:kern w:val="0"/>
          <w:sz w:val="28"/>
          <w:szCs w:val="28"/>
          <w:lang w:val="en-US" w:eastAsia="zh-CN" w:bidi="ar"/>
        </w:rPr>
      </w:pPr>
      <w:r>
        <w:rPr>
          <w:rFonts w:hint="eastAsia" w:ascii="宋体" w:hAnsi="宋体" w:eastAsia="宋体" w:cs="宋体"/>
          <w:color w:val="auto"/>
          <w:kern w:val="0"/>
          <w:sz w:val="28"/>
          <w:szCs w:val="28"/>
          <w:lang w:val="en-US" w:eastAsia="zh-CN" w:bidi="ar"/>
        </w:rPr>
        <w:t>（2）通过本项目的实施，梳理片区范围内的排水单元的排水体制和排水单元性质，采用工程措施从源头上实现雨污分流改造，实现整个片区的雨污分流；</w:t>
      </w:r>
    </w:p>
    <w:p>
      <w:pPr>
        <w:pStyle w:val="12"/>
        <w:ind w:firstLine="480"/>
        <w:rPr>
          <w:rFonts w:hint="eastAsia" w:ascii="宋体" w:hAnsi="宋体" w:eastAsia="宋体" w:cs="宋体"/>
          <w:color w:val="auto"/>
          <w:kern w:val="0"/>
          <w:sz w:val="28"/>
          <w:szCs w:val="28"/>
          <w:lang w:val="en-US" w:eastAsia="zh-CN" w:bidi="ar"/>
        </w:rPr>
      </w:pPr>
      <w:r>
        <w:rPr>
          <w:rFonts w:hint="eastAsia" w:ascii="宋体" w:hAnsi="宋体" w:cs="宋体"/>
          <w:color w:val="auto"/>
          <w:kern w:val="0"/>
          <w:sz w:val="28"/>
          <w:szCs w:val="28"/>
          <w:lang w:val="en-US" w:eastAsia="zh-CN" w:bidi="ar"/>
        </w:rPr>
        <w:t>（3）通过项目实施，实现片区内的雨污分流，将污水统一收集进厂处理，提高污水管网浓度，减轻污水处理厂运行负荷，达到提质增效的目标。</w:t>
      </w:r>
    </w:p>
    <w:p>
      <w:pPr>
        <w:pStyle w:val="12"/>
        <w:rPr>
          <w:rFonts w:hint="eastAsia"/>
          <w:color w:val="auto"/>
        </w:rPr>
      </w:pPr>
      <w:r>
        <w:rPr>
          <w:rFonts w:hint="eastAsia" w:cs="宋体" w:asciiTheme="minorEastAsia" w:hAnsiTheme="minorEastAsia" w:eastAsiaTheme="minorEastAsia"/>
          <w:color w:val="auto"/>
          <w:sz w:val="28"/>
          <w:szCs w:val="21"/>
        </w:rPr>
        <w:t>本次工程旨在解决</w:t>
      </w:r>
      <w:r>
        <w:rPr>
          <w:rFonts w:hint="eastAsia" w:cs="宋体" w:asciiTheme="minorEastAsia" w:hAnsiTheme="minorEastAsia" w:eastAsiaTheme="minorEastAsia"/>
          <w:color w:val="auto"/>
          <w:sz w:val="28"/>
          <w:szCs w:val="21"/>
          <w:lang w:eastAsia="zh-CN"/>
        </w:rPr>
        <w:t>Y523片区沿线的雨污水分流</w:t>
      </w:r>
      <w:r>
        <w:rPr>
          <w:rFonts w:hint="eastAsia" w:cs="宋体" w:asciiTheme="minorEastAsia" w:hAnsiTheme="minorEastAsia" w:eastAsiaTheme="minorEastAsia"/>
          <w:color w:val="auto"/>
          <w:sz w:val="28"/>
          <w:szCs w:val="21"/>
        </w:rPr>
        <w:t>排放问题，</w:t>
      </w:r>
      <w:r>
        <w:rPr>
          <w:rFonts w:hint="eastAsia" w:ascii="宋体" w:hAnsi="宋体" w:eastAsia="宋体" w:cs="宋体"/>
          <w:color w:val="auto"/>
          <w:kern w:val="0"/>
          <w:sz w:val="28"/>
          <w:szCs w:val="24"/>
          <w:lang w:val="en-US" w:eastAsia="zh-CN" w:bidi="ar"/>
        </w:rPr>
        <w:t>同步实施排水单元</w:t>
      </w:r>
      <w:r>
        <w:rPr>
          <w:rFonts w:hint="eastAsia" w:ascii="宋体" w:hAnsi="宋体" w:cs="宋体"/>
          <w:color w:val="auto"/>
          <w:kern w:val="0"/>
          <w:sz w:val="28"/>
          <w:szCs w:val="24"/>
          <w:lang w:val="en-US" w:eastAsia="zh-CN" w:bidi="ar"/>
        </w:rPr>
        <w:t>达标改造所需</w:t>
      </w:r>
      <w:r>
        <w:rPr>
          <w:rFonts w:hint="eastAsia" w:ascii="宋体" w:hAnsi="宋体" w:eastAsia="宋体" w:cs="宋体"/>
          <w:color w:val="auto"/>
          <w:kern w:val="0"/>
          <w:sz w:val="28"/>
          <w:szCs w:val="24"/>
          <w:lang w:val="en-US" w:eastAsia="zh-CN" w:bidi="ar"/>
        </w:rPr>
        <w:t>的公共排水管网建设，雨水污水各行其道，实现雨污分流。完善</w:t>
      </w:r>
      <w:r>
        <w:rPr>
          <w:rFonts w:hint="eastAsia" w:ascii="宋体" w:hAnsi="宋体" w:cs="宋体"/>
          <w:color w:val="auto"/>
          <w:kern w:val="0"/>
          <w:sz w:val="28"/>
          <w:szCs w:val="24"/>
          <w:lang w:val="en-US" w:eastAsia="zh-CN" w:bidi="ar"/>
        </w:rPr>
        <w:t>Y523道路</w:t>
      </w:r>
      <w:r>
        <w:rPr>
          <w:rFonts w:hint="eastAsia" w:ascii="宋体" w:hAnsi="宋体" w:eastAsia="宋体" w:cs="宋体"/>
          <w:color w:val="auto"/>
          <w:kern w:val="0"/>
          <w:sz w:val="28"/>
          <w:szCs w:val="24"/>
          <w:lang w:val="en-US" w:eastAsia="zh-CN" w:bidi="ar"/>
        </w:rPr>
        <w:t>污水管网传输系统，提高污水收集率，</w:t>
      </w:r>
      <w:r>
        <w:rPr>
          <w:rFonts w:hint="eastAsia" w:ascii="宋体" w:hAnsi="宋体" w:cs="宋体"/>
          <w:color w:val="auto"/>
          <w:kern w:val="0"/>
          <w:sz w:val="28"/>
          <w:szCs w:val="24"/>
          <w:lang w:val="en-US" w:eastAsia="zh-CN" w:bidi="ar"/>
        </w:rPr>
        <w:t>为周边排水单元达标创建提供前提条件</w:t>
      </w:r>
      <w:r>
        <w:rPr>
          <w:rFonts w:hint="eastAsia" w:ascii="宋体" w:hAnsi="宋体" w:eastAsia="宋体" w:cs="宋体"/>
          <w:color w:val="auto"/>
          <w:kern w:val="0"/>
          <w:sz w:val="28"/>
          <w:szCs w:val="24"/>
          <w:lang w:val="en-US" w:eastAsia="zh-CN" w:bidi="ar"/>
        </w:rPr>
        <w:t>。完善机关事业单位等区财政出资的排水单元的内部管网，并同时预留其他财政出资的排水单元的周边市政管网，达到单元内部雨污分流的目标。</w:t>
      </w:r>
    </w:p>
    <w:p>
      <w:pPr>
        <w:ind w:firstLine="565"/>
        <w:rPr>
          <w:rFonts w:hint="eastAsia" w:cs="宋体" w:asciiTheme="minorEastAsia" w:hAnsiTheme="minorEastAsia" w:eastAsiaTheme="minorEastAsia"/>
          <w:color w:val="auto"/>
          <w:sz w:val="28"/>
          <w:szCs w:val="21"/>
          <w:lang w:val="en-US" w:eastAsia="zh-CN"/>
        </w:rPr>
      </w:pPr>
      <w:r>
        <w:rPr>
          <w:rFonts w:hint="eastAsia"/>
          <w:color w:val="auto"/>
          <w:lang w:val="en-US" w:eastAsia="zh-CN"/>
        </w:rPr>
        <w:t>建设内容：</w:t>
      </w:r>
      <w:r>
        <w:rPr>
          <w:rFonts w:hint="eastAsia" w:cs="宋体" w:asciiTheme="minorEastAsia" w:hAnsiTheme="minorEastAsia" w:eastAsiaTheme="minorEastAsia"/>
          <w:color w:val="auto"/>
          <w:sz w:val="28"/>
          <w:szCs w:val="21"/>
          <w:lang w:eastAsia="zh-CN"/>
        </w:rPr>
        <w:t>本项目建设</w:t>
      </w:r>
      <w:r>
        <w:rPr>
          <w:rFonts w:hint="eastAsia" w:cs="宋体" w:asciiTheme="minorEastAsia" w:hAnsiTheme="minorEastAsia" w:eastAsiaTheme="minorEastAsia"/>
          <w:color w:val="auto"/>
          <w:sz w:val="28"/>
          <w:szCs w:val="21"/>
          <w:lang w:val="en-US" w:eastAsia="zh-CN"/>
        </w:rPr>
        <w:t>DN500污水主管约2120m，D400污水支管约109米，DN300支管约1551m，DN200支管约621m，D160*4接户管约1321m，φ1200预制装配式钢筋混凝土检查井29座，φ1000预制装配式钢筋混凝土检查井85座，φ1200预制装配式钢筋混凝土沉泥井（沉泥深度500mm）14座，φ1000预制装配式钢筋混凝土沉泥井（沉泥深度500mm）3座，φ630塑料检查井34座，雨污交汇井2座，倒虹井4座，φ110雨水立管362米。</w:t>
      </w:r>
    </w:p>
    <w:p>
      <w:pPr>
        <w:ind w:firstLine="565"/>
        <w:rPr>
          <w:rFonts w:hint="eastAsia" w:cs="宋体" w:asciiTheme="minorEastAsia" w:hAnsiTheme="minorEastAsia" w:eastAsiaTheme="minorEastAsia"/>
          <w:color w:val="auto"/>
          <w:sz w:val="28"/>
          <w:szCs w:val="21"/>
          <w:lang w:eastAsia="zh-CN"/>
        </w:rPr>
      </w:pPr>
      <w:r>
        <w:rPr>
          <w:rFonts w:hint="eastAsia"/>
          <w:color w:val="auto"/>
          <w:lang w:val="en-US" w:eastAsia="zh-CN"/>
        </w:rPr>
        <w:t>服务范围：项目起点为罗洞村口家富食品有限公司，项目终点为G105国道。</w:t>
      </w:r>
      <w:r>
        <w:rPr>
          <w:rFonts w:hint="eastAsia" w:cs="宋体" w:asciiTheme="minorEastAsia" w:hAnsiTheme="minorEastAsia" w:eastAsiaTheme="minorEastAsia"/>
          <w:color w:val="auto"/>
          <w:sz w:val="28"/>
          <w:szCs w:val="21"/>
          <w:lang w:val="en-US" w:eastAsia="zh-CN"/>
        </w:rPr>
        <w:t>Y523沿线商铺、罗洞村部分村民、从化区公路管理中心附城养护站、从化区福利院、罗洞小学、家富食品有限公司、壹帆交通设施有限公司等</w:t>
      </w:r>
      <w:r>
        <w:rPr>
          <w:rFonts w:hint="eastAsia" w:cs="宋体" w:asciiTheme="minorEastAsia" w:hAnsiTheme="minorEastAsia" w:eastAsiaTheme="minorEastAsia"/>
          <w:color w:val="auto"/>
          <w:sz w:val="28"/>
          <w:szCs w:val="21"/>
          <w:lang w:eastAsia="zh-CN"/>
        </w:rPr>
        <w:t>。</w:t>
      </w:r>
    </w:p>
    <w:p>
      <w:pPr>
        <w:pStyle w:val="12"/>
        <w:ind w:left="0" w:leftChars="0" w:firstLine="0" w:firstLineChars="0"/>
        <w:jc w:val="center"/>
        <w:rPr>
          <w:rFonts w:hint="eastAsia"/>
          <w:color w:val="auto"/>
          <w:lang w:eastAsia="zh-CN"/>
        </w:rPr>
      </w:pPr>
      <w:r>
        <w:rPr>
          <w:color w:val="auto"/>
        </w:rPr>
        <w:drawing>
          <wp:inline distT="0" distB="0" distL="114300" distR="114300">
            <wp:extent cx="4534535" cy="4549775"/>
            <wp:effectExtent l="0" t="0" r="18415" b="3175"/>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20"/>
                    <a:srcRect b="8840"/>
                    <a:stretch>
                      <a:fillRect/>
                    </a:stretch>
                  </pic:blipFill>
                  <pic:spPr>
                    <a:xfrm>
                      <a:off x="0" y="0"/>
                      <a:ext cx="4534535" cy="4549775"/>
                    </a:xfrm>
                    <a:prstGeom prst="rect">
                      <a:avLst/>
                    </a:prstGeom>
                    <a:noFill/>
                    <a:ln>
                      <a:noFill/>
                    </a:ln>
                  </pic:spPr>
                </pic:pic>
              </a:graphicData>
            </a:graphic>
          </wp:inline>
        </w:drawing>
      </w:r>
    </w:p>
    <w:p>
      <w:pPr>
        <w:pStyle w:val="91"/>
        <w:bidi w:val="0"/>
        <w:rPr>
          <w:rFonts w:cs="宋体"/>
          <w:color w:val="auto"/>
        </w:rPr>
      </w:pPr>
      <w:r>
        <w:rPr>
          <w:rFonts w:hint="eastAsia" w:cs="宋体"/>
          <w:color w:val="auto"/>
          <w:lang w:val="en-US" w:eastAsia="zh-CN"/>
        </w:rPr>
        <w:t>本项目涉及Y523片区起终点示意图</w:t>
      </w:r>
    </w:p>
    <w:p>
      <w:pPr>
        <w:pStyle w:val="39"/>
        <w:rPr>
          <w:rFonts w:cs="宋体" w:asciiTheme="minorEastAsia" w:hAnsiTheme="minorEastAsia" w:eastAsiaTheme="minorEastAsia"/>
          <w:color w:val="auto"/>
          <w:sz w:val="28"/>
          <w:szCs w:val="28"/>
        </w:rPr>
      </w:pPr>
      <w:bookmarkStart w:id="4" w:name="_Toc29742"/>
      <w:r>
        <w:rPr>
          <w:rFonts w:cs="宋体" w:asciiTheme="minorEastAsia" w:hAnsiTheme="minorEastAsia" w:eastAsiaTheme="minorEastAsia"/>
          <w:color w:val="auto"/>
          <w:sz w:val="28"/>
          <w:szCs w:val="28"/>
        </w:rPr>
        <w:t>编制依据</w:t>
      </w:r>
      <w:bookmarkEnd w:id="3"/>
      <w:bookmarkEnd w:id="4"/>
    </w:p>
    <w:p>
      <w:pPr>
        <w:pStyle w:val="40"/>
        <w:rPr>
          <w:rFonts w:cs="宋体"/>
          <w:color w:val="auto"/>
          <w:sz w:val="28"/>
          <w:szCs w:val="28"/>
        </w:rPr>
      </w:pPr>
      <w:r>
        <w:rPr>
          <w:rFonts w:hint="eastAsia" w:cs="宋体" w:asciiTheme="minorEastAsia" w:hAnsiTheme="minorEastAsia" w:eastAsiaTheme="minorEastAsia"/>
          <w:color w:val="auto"/>
          <w:sz w:val="28"/>
          <w:szCs w:val="28"/>
          <w:lang w:eastAsia="zh-CN"/>
        </w:rPr>
        <w:t>相关文件</w:t>
      </w:r>
    </w:p>
    <w:p>
      <w:pPr>
        <w:numPr>
          <w:ilvl w:val="0"/>
          <w:numId w:val="7"/>
        </w:numPr>
        <w:ind w:left="5" w:firstLine="415" w:firstLineChars="0"/>
        <w:rPr>
          <w:rFonts w:hint="eastAsia" w:cs="宋体" w:asciiTheme="minorEastAsia" w:hAnsiTheme="minorEastAsia" w:eastAsiaTheme="minorEastAsia"/>
          <w:color w:val="auto"/>
          <w:sz w:val="28"/>
          <w:szCs w:val="21"/>
        </w:rPr>
      </w:pPr>
      <w:r>
        <w:rPr>
          <w:rFonts w:hint="eastAsia"/>
          <w:lang w:val="en-US" w:eastAsia="zh-CN"/>
        </w:rPr>
        <w:t>穗从发改投批[2023]48号《广州市从化区发展和改革局关于从化区江埔街Y523片区雨污分流工程项目可行性研究报告的复函》</w:t>
      </w:r>
    </w:p>
    <w:p>
      <w:pPr>
        <w:numPr>
          <w:ilvl w:val="0"/>
          <w:numId w:val="7"/>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eastAsia="zh-CN"/>
        </w:rPr>
        <w:t>《中共广州市从化区水务局党组关于申请实施广州从化城镇生活污水治理配置提升工程的请示》</w:t>
      </w:r>
    </w:p>
    <w:p>
      <w:pPr>
        <w:numPr>
          <w:ilvl w:val="0"/>
          <w:numId w:val="7"/>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eastAsia="zh-CN"/>
        </w:rPr>
        <w:t>《从化区污水专项规划》（</w:t>
      </w:r>
      <w:r>
        <w:rPr>
          <w:rFonts w:hint="eastAsia" w:cs="宋体" w:asciiTheme="minorEastAsia" w:hAnsiTheme="minorEastAsia" w:eastAsiaTheme="minorEastAsia"/>
          <w:color w:val="auto"/>
          <w:sz w:val="28"/>
          <w:szCs w:val="21"/>
          <w:lang w:val="en-US" w:eastAsia="zh-CN"/>
        </w:rPr>
        <w:t>2018-2035</w:t>
      </w:r>
      <w:r>
        <w:rPr>
          <w:rFonts w:hint="eastAsia" w:cs="宋体" w:asciiTheme="minorEastAsia" w:hAnsiTheme="minorEastAsia" w:eastAsiaTheme="minorEastAsia"/>
          <w:color w:val="auto"/>
          <w:sz w:val="28"/>
          <w:szCs w:val="21"/>
          <w:lang w:eastAsia="zh-CN"/>
        </w:rPr>
        <w:t>）</w:t>
      </w:r>
    </w:p>
    <w:p>
      <w:pPr>
        <w:numPr>
          <w:ilvl w:val="0"/>
          <w:numId w:val="7"/>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《广州市排水(雨水)防涝综合规划(2021-2035年)》</w:t>
      </w:r>
    </w:p>
    <w:p>
      <w:pPr>
        <w:numPr>
          <w:ilvl w:val="0"/>
          <w:numId w:val="7"/>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《广州市雨水系统总体规划》（2021-2035）</w:t>
      </w:r>
    </w:p>
    <w:p>
      <w:pPr>
        <w:numPr>
          <w:ilvl w:val="0"/>
          <w:numId w:val="7"/>
        </w:numPr>
        <w:ind w:left="5" w:firstLine="415" w:firstLineChars="0"/>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val="en-US" w:eastAsia="zh-CN"/>
        </w:rPr>
        <w:t>《广州市水务发展“十四五”规划》</w:t>
      </w:r>
    </w:p>
    <w:p>
      <w:pPr>
        <w:numPr>
          <w:ilvl w:val="0"/>
          <w:numId w:val="7"/>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eastAsia="zh-CN"/>
        </w:rPr>
        <w:t>《</w:t>
      </w:r>
      <w:r>
        <w:rPr>
          <w:rFonts w:hint="eastAsia" w:cs="宋体" w:asciiTheme="minorEastAsia" w:hAnsiTheme="minorEastAsia" w:eastAsiaTheme="minorEastAsia"/>
          <w:color w:val="auto"/>
          <w:sz w:val="28"/>
          <w:szCs w:val="21"/>
        </w:rPr>
        <w:t>广州市从化区中心城区水务专项规划</w:t>
      </w:r>
      <w:r>
        <w:rPr>
          <w:rFonts w:hint="eastAsia" w:cs="宋体" w:asciiTheme="minorEastAsia" w:hAnsiTheme="minorEastAsia" w:eastAsiaTheme="minorEastAsia"/>
          <w:color w:val="auto"/>
          <w:sz w:val="28"/>
          <w:szCs w:val="21"/>
          <w:lang w:eastAsia="zh-CN"/>
        </w:rPr>
        <w:t>》（</w:t>
      </w:r>
      <w:r>
        <w:rPr>
          <w:rFonts w:hint="eastAsia" w:cs="宋体" w:asciiTheme="minorEastAsia" w:hAnsiTheme="minorEastAsia" w:eastAsiaTheme="minorEastAsia"/>
          <w:color w:val="auto"/>
          <w:sz w:val="28"/>
          <w:szCs w:val="21"/>
          <w:lang w:val="en-US" w:eastAsia="zh-CN"/>
        </w:rPr>
        <w:t>2018-2035</w:t>
      </w:r>
      <w:r>
        <w:rPr>
          <w:rFonts w:hint="eastAsia" w:cs="宋体" w:asciiTheme="minorEastAsia" w:hAnsiTheme="minorEastAsia" w:eastAsiaTheme="minorEastAsia"/>
          <w:color w:val="auto"/>
          <w:sz w:val="28"/>
          <w:szCs w:val="21"/>
          <w:lang w:eastAsia="zh-CN"/>
        </w:rPr>
        <w:t>）</w:t>
      </w:r>
    </w:p>
    <w:p>
      <w:pPr>
        <w:numPr>
          <w:ilvl w:val="0"/>
          <w:numId w:val="7"/>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eastAsia="zh-CN"/>
        </w:rPr>
        <w:t>《广州市城镇污水处理提质增效三年行动方案》</w:t>
      </w:r>
    </w:p>
    <w:p>
      <w:pPr>
        <w:numPr>
          <w:ilvl w:val="0"/>
          <w:numId w:val="7"/>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eastAsia="zh-CN"/>
        </w:rPr>
        <w:t>《广州市总河长令》（第</w:t>
      </w:r>
      <w:r>
        <w:rPr>
          <w:rFonts w:hint="eastAsia" w:cs="宋体" w:asciiTheme="minorEastAsia" w:hAnsiTheme="minorEastAsia" w:eastAsiaTheme="minorEastAsia"/>
          <w:color w:val="auto"/>
          <w:sz w:val="28"/>
          <w:szCs w:val="21"/>
          <w:lang w:val="en-US" w:eastAsia="zh-CN"/>
        </w:rPr>
        <w:t>4号</w:t>
      </w:r>
      <w:r>
        <w:rPr>
          <w:rFonts w:hint="eastAsia" w:cs="宋体" w:asciiTheme="minorEastAsia" w:hAnsiTheme="minorEastAsia" w:eastAsiaTheme="minorEastAsia"/>
          <w:color w:val="auto"/>
          <w:sz w:val="28"/>
          <w:szCs w:val="21"/>
          <w:lang w:eastAsia="zh-CN"/>
        </w:rPr>
        <w:t>）</w:t>
      </w:r>
    </w:p>
    <w:p>
      <w:pPr>
        <w:pStyle w:val="39"/>
        <w:rPr>
          <w:rFonts w:cs="宋体" w:asciiTheme="minorEastAsia" w:hAnsiTheme="minorEastAsia" w:eastAsiaTheme="minorEastAsia"/>
          <w:color w:val="auto"/>
          <w:sz w:val="28"/>
          <w:szCs w:val="28"/>
        </w:rPr>
      </w:pPr>
      <w:bookmarkStart w:id="5" w:name="_Toc23327"/>
      <w:r>
        <w:rPr>
          <w:rFonts w:hint="eastAsia" w:cs="宋体" w:asciiTheme="minorEastAsia" w:hAnsiTheme="minorEastAsia" w:eastAsiaTheme="minorEastAsia"/>
          <w:color w:val="auto"/>
          <w:sz w:val="28"/>
          <w:szCs w:val="28"/>
          <w:lang w:eastAsia="zh-CN"/>
        </w:rPr>
        <w:t>采用的标准及规范</w:t>
      </w:r>
      <w:bookmarkEnd w:id="5"/>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《城乡排水工程项目</w:t>
      </w:r>
      <w:r>
        <w:rPr>
          <w:rFonts w:hint="eastAsia" w:cs="宋体" w:asciiTheme="minorEastAsia" w:hAnsiTheme="minorEastAsia" w:eastAsiaTheme="minorEastAsia"/>
          <w:color w:val="auto"/>
          <w:sz w:val="28"/>
          <w:szCs w:val="21"/>
          <w:lang w:eastAsia="zh-CN"/>
        </w:rPr>
        <w:t>规范</w:t>
      </w:r>
      <w:r>
        <w:rPr>
          <w:rFonts w:hint="eastAsia" w:cs="宋体" w:asciiTheme="minorEastAsia" w:hAnsiTheme="minorEastAsia" w:eastAsiaTheme="minorEastAsia"/>
          <w:color w:val="auto"/>
          <w:sz w:val="28"/>
          <w:szCs w:val="21"/>
        </w:rPr>
        <w:t>》（GB55027-2022）</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《室外给水设计标准》GB 50013-2018</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《室外排水设计</w:t>
      </w:r>
      <w:r>
        <w:rPr>
          <w:rFonts w:hint="eastAsia" w:cs="宋体" w:asciiTheme="minorEastAsia" w:hAnsiTheme="minorEastAsia" w:eastAsiaTheme="minorEastAsia"/>
          <w:color w:val="auto"/>
          <w:sz w:val="28"/>
          <w:szCs w:val="21"/>
          <w:lang w:eastAsia="zh-CN"/>
        </w:rPr>
        <w:t>标准</w:t>
      </w:r>
      <w:r>
        <w:rPr>
          <w:rFonts w:hint="eastAsia" w:cs="宋体" w:asciiTheme="minorEastAsia" w:hAnsiTheme="minorEastAsia" w:eastAsiaTheme="minorEastAsia"/>
          <w:color w:val="auto"/>
          <w:sz w:val="28"/>
          <w:szCs w:val="21"/>
        </w:rPr>
        <w:t>》GB</w:t>
      </w:r>
      <w:r>
        <w:rPr>
          <w:rFonts w:hint="eastAsia" w:cs="宋体" w:asciiTheme="minorEastAsia" w:hAnsiTheme="minorEastAsia" w:eastAsiaTheme="minorEastAsia"/>
          <w:color w:val="auto"/>
          <w:sz w:val="28"/>
          <w:szCs w:val="21"/>
          <w:lang w:val="en-US" w:eastAsia="zh-CN"/>
        </w:rPr>
        <w:t xml:space="preserve"> </w:t>
      </w:r>
      <w:r>
        <w:rPr>
          <w:rFonts w:hint="eastAsia" w:cs="宋体" w:asciiTheme="minorEastAsia" w:hAnsiTheme="minorEastAsia" w:eastAsiaTheme="minorEastAsia"/>
          <w:color w:val="auto"/>
          <w:sz w:val="28"/>
          <w:szCs w:val="21"/>
        </w:rPr>
        <w:t>50014-20</w:t>
      </w:r>
      <w:r>
        <w:rPr>
          <w:rFonts w:hint="eastAsia" w:cs="宋体" w:asciiTheme="minorEastAsia" w:hAnsiTheme="minorEastAsia" w:eastAsiaTheme="minorEastAsia"/>
          <w:color w:val="auto"/>
          <w:sz w:val="28"/>
          <w:szCs w:val="21"/>
          <w:lang w:val="en-US" w:eastAsia="zh-CN"/>
        </w:rPr>
        <w:t>21</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《广东省水污染物排放标准》 DB44/26-2001</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 xml:space="preserve">《污水排入城镇下水道水质标准》GB/T 31962-2015 </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《广东省用水定额》DB44T1461-20</w:t>
      </w:r>
      <w:r>
        <w:rPr>
          <w:rFonts w:hint="eastAsia" w:cs="宋体" w:asciiTheme="minorEastAsia" w:hAnsiTheme="minorEastAsia" w:eastAsiaTheme="minorEastAsia"/>
          <w:color w:val="auto"/>
          <w:sz w:val="28"/>
          <w:szCs w:val="21"/>
          <w:lang w:val="en-US" w:eastAsia="zh-CN"/>
        </w:rPr>
        <w:t>21</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val="en-US" w:eastAsia="zh-CN"/>
        </w:rPr>
        <w:t>《井盖设施建设技术规范》</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val="en-US" w:eastAsia="zh-CN"/>
        </w:rPr>
        <w:t>《城镇给水排水技术规范》</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《广州市排水条例》(2022)</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《广州市排水条例实施细则》（穗水规字[2022]8号）</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《广州市暴雨强度公式编制与设计暴雨雨型研究技术报告》（穗水科信【2023】3号）</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《混凝土结构设计规范》GB50010-2010（</w:t>
      </w:r>
      <w:r>
        <w:rPr>
          <w:rFonts w:hint="eastAsia" w:cs="宋体" w:asciiTheme="minorEastAsia" w:hAnsiTheme="minorEastAsia" w:eastAsiaTheme="minorEastAsia"/>
          <w:color w:val="auto"/>
          <w:sz w:val="28"/>
          <w:szCs w:val="21"/>
          <w:lang w:val="en-US" w:eastAsia="zh-CN"/>
        </w:rPr>
        <w:t>2015</w:t>
      </w:r>
      <w:r>
        <w:rPr>
          <w:rFonts w:hint="eastAsia" w:cs="宋体" w:asciiTheme="minorEastAsia" w:hAnsiTheme="minorEastAsia" w:eastAsiaTheme="minorEastAsia"/>
          <w:color w:val="auto"/>
          <w:sz w:val="28"/>
          <w:szCs w:val="21"/>
        </w:rPr>
        <w:t xml:space="preserve"> 年版）</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《给水排水工程构筑物结构设计规范》GB50069-2002</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《地下工程防水技术规范》GB50108-2008</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《给水排水工程管道结构设计规范》GB50332-2002</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w:t>
      </w:r>
      <w:r>
        <w:rPr>
          <w:rFonts w:hint="eastAsia" w:cs="宋体" w:asciiTheme="minorEastAsia" w:hAnsiTheme="minorEastAsia" w:eastAsiaTheme="minorEastAsia"/>
          <w:color w:val="auto"/>
          <w:sz w:val="28"/>
          <w:szCs w:val="21"/>
          <w:lang w:eastAsia="zh-CN"/>
        </w:rPr>
        <w:t>广州市</w:t>
      </w:r>
      <w:r>
        <w:rPr>
          <w:rFonts w:hint="eastAsia" w:cs="宋体" w:asciiTheme="minorEastAsia" w:hAnsiTheme="minorEastAsia" w:eastAsiaTheme="minorEastAsia"/>
          <w:color w:val="auto"/>
          <w:sz w:val="28"/>
          <w:szCs w:val="21"/>
        </w:rPr>
        <w:t>预制装配式钢筋混凝土排水检查井标准图集》</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《广州市预制装配式</w:t>
      </w:r>
      <w:r>
        <w:rPr>
          <w:rFonts w:hint="eastAsia" w:cs="宋体" w:asciiTheme="minorEastAsia" w:hAnsiTheme="minorEastAsia" w:eastAsiaTheme="minorEastAsia"/>
          <w:color w:val="auto"/>
          <w:sz w:val="28"/>
          <w:szCs w:val="21"/>
          <w:lang w:eastAsia="zh-CN"/>
        </w:rPr>
        <w:t>钢筋</w:t>
      </w:r>
      <w:r>
        <w:rPr>
          <w:rFonts w:hint="eastAsia" w:cs="宋体" w:asciiTheme="minorEastAsia" w:hAnsiTheme="minorEastAsia" w:eastAsiaTheme="minorEastAsia"/>
          <w:color w:val="auto"/>
          <w:sz w:val="28"/>
          <w:szCs w:val="21"/>
        </w:rPr>
        <w:t>混凝土排水检查井技术指引》</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《给水排水管道工程施工及验收规范》（GB50268-2008）</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《水污染物排放限值》DB44/26-2001</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eastAsia="zh-CN"/>
        </w:rPr>
        <w:t>《</w:t>
      </w:r>
      <w:r>
        <w:rPr>
          <w:rFonts w:hint="eastAsia" w:cs="宋体" w:asciiTheme="minorEastAsia" w:hAnsiTheme="minorEastAsia" w:eastAsiaTheme="minorEastAsia"/>
          <w:color w:val="auto"/>
          <w:sz w:val="28"/>
          <w:szCs w:val="21"/>
          <w:lang w:val="en-US" w:eastAsia="zh-CN"/>
        </w:rPr>
        <w:t>顶管技术规程</w:t>
      </w:r>
      <w:r>
        <w:rPr>
          <w:rFonts w:hint="eastAsia" w:cs="宋体" w:asciiTheme="minorEastAsia" w:hAnsiTheme="minorEastAsia" w:eastAsiaTheme="minorEastAsia"/>
          <w:color w:val="auto"/>
          <w:sz w:val="28"/>
          <w:szCs w:val="21"/>
          <w:lang w:eastAsia="zh-CN"/>
        </w:rPr>
        <w:t>》</w:t>
      </w:r>
      <w:r>
        <w:rPr>
          <w:rFonts w:hint="eastAsia" w:cs="宋体" w:asciiTheme="minorEastAsia" w:hAnsiTheme="minorEastAsia" w:eastAsiaTheme="minorEastAsia"/>
          <w:color w:val="auto"/>
          <w:sz w:val="28"/>
          <w:szCs w:val="21"/>
          <w:lang w:val="en-US" w:eastAsia="zh-CN"/>
        </w:rPr>
        <w:t>DBJ/T 15-106-2015</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《市政公用工程设计文件编制深度规定》（2013 年版）</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《广州市排水工程设计技术指引》2014 年</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《工程结构通用规范》GB 55001-2021</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《混凝土结构通用规范》（GB 55008-2021）</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《砌体结构通用规范》（GB</w:t>
      </w:r>
      <w:r>
        <w:rPr>
          <w:rFonts w:hint="eastAsia" w:cs="宋体" w:asciiTheme="minorEastAsia" w:hAnsiTheme="minorEastAsia" w:eastAsiaTheme="minorEastAsia"/>
          <w:color w:val="auto"/>
          <w:sz w:val="28"/>
          <w:szCs w:val="21"/>
          <w:lang w:val="en-US" w:eastAsia="zh-CN"/>
        </w:rPr>
        <w:t xml:space="preserve"> </w:t>
      </w:r>
      <w:r>
        <w:rPr>
          <w:rFonts w:hint="eastAsia" w:cs="宋体" w:asciiTheme="minorEastAsia" w:hAnsiTheme="minorEastAsia" w:eastAsiaTheme="minorEastAsia"/>
          <w:color w:val="auto"/>
          <w:sz w:val="28"/>
          <w:szCs w:val="21"/>
        </w:rPr>
        <w:t>55007-2021）</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《建筑与市政地基基础通用规范》（GB</w:t>
      </w:r>
      <w:r>
        <w:rPr>
          <w:rFonts w:hint="eastAsia" w:cs="宋体" w:asciiTheme="minorEastAsia" w:hAnsiTheme="minorEastAsia" w:eastAsiaTheme="minorEastAsia"/>
          <w:color w:val="auto"/>
          <w:sz w:val="28"/>
          <w:szCs w:val="21"/>
          <w:lang w:val="en-US" w:eastAsia="zh-CN"/>
        </w:rPr>
        <w:t xml:space="preserve"> </w:t>
      </w:r>
      <w:r>
        <w:rPr>
          <w:rFonts w:hint="eastAsia" w:cs="宋体" w:asciiTheme="minorEastAsia" w:hAnsiTheme="minorEastAsia" w:eastAsiaTheme="minorEastAsia"/>
          <w:color w:val="auto"/>
          <w:sz w:val="28"/>
          <w:szCs w:val="21"/>
        </w:rPr>
        <w:t>55003-2021）</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《建筑与市政工程抗震通用规范》（GB</w:t>
      </w:r>
      <w:r>
        <w:rPr>
          <w:rFonts w:hint="eastAsia" w:cs="宋体" w:asciiTheme="minorEastAsia" w:hAnsiTheme="minorEastAsia" w:eastAsiaTheme="minorEastAsia"/>
          <w:color w:val="auto"/>
          <w:sz w:val="28"/>
          <w:szCs w:val="21"/>
          <w:lang w:val="en-US" w:eastAsia="zh-CN"/>
        </w:rPr>
        <w:t xml:space="preserve"> </w:t>
      </w:r>
      <w:r>
        <w:rPr>
          <w:rFonts w:hint="eastAsia" w:cs="宋体" w:asciiTheme="minorEastAsia" w:hAnsiTheme="minorEastAsia" w:eastAsiaTheme="minorEastAsia"/>
          <w:color w:val="auto"/>
          <w:sz w:val="28"/>
          <w:szCs w:val="21"/>
        </w:rPr>
        <w:t>55002-2021）</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eastAsia="zh-CN"/>
        </w:rPr>
        <w:t>广州市河长制办公室文件</w:t>
      </w:r>
      <w:r>
        <w:rPr>
          <w:rFonts w:hint="eastAsia" w:cs="宋体" w:asciiTheme="minorEastAsia" w:hAnsiTheme="minorEastAsia" w:eastAsiaTheme="minorEastAsia"/>
          <w:color w:val="auto"/>
          <w:sz w:val="28"/>
          <w:szCs w:val="21"/>
          <w:lang w:val="en-US" w:eastAsia="zh-CN"/>
        </w:rPr>
        <w:t xml:space="preserve"> 穗河长办[2020]36号 《广州市河长制办公室关于提高新建污水管网管材标准，打好水污染防治攻坚战的通知》</w:t>
      </w:r>
    </w:p>
    <w:p>
      <w:pPr>
        <w:numPr>
          <w:ilvl w:val="0"/>
          <w:numId w:val="8"/>
        </w:numPr>
        <w:ind w:left="5" w:firstLine="415" w:firstLineChars="0"/>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广州市污水治理有限责任公司文件穗治污【2008】19号《关于增加污水管道CCTV验收要求说明》</w:t>
      </w:r>
    </w:p>
    <w:p>
      <w:pPr>
        <w:pStyle w:val="39"/>
        <w:rPr>
          <w:rFonts w:hint="eastAsia" w:eastAsia="宋体"/>
          <w:color w:val="auto"/>
          <w:lang w:eastAsia="zh-CN"/>
        </w:rPr>
      </w:pPr>
      <w:bookmarkStart w:id="6" w:name="_Toc28385"/>
      <w:bookmarkStart w:id="7" w:name="_Toc8201"/>
      <w:r>
        <w:rPr>
          <w:rFonts w:hint="eastAsia" w:cs="Times New Roman" w:asciiTheme="minorEastAsia" w:hAnsiTheme="minorEastAsia"/>
          <w:color w:val="auto"/>
          <w:sz w:val="28"/>
          <w:szCs w:val="21"/>
          <w:highlight w:val="none"/>
          <w:lang w:eastAsia="zh-CN"/>
        </w:rPr>
        <w:t>主要结论和建议</w:t>
      </w:r>
      <w:bookmarkEnd w:id="6"/>
      <w:bookmarkEnd w:id="7"/>
    </w:p>
    <w:p>
      <w:pPr>
        <w:pStyle w:val="40"/>
        <w:bidi w:val="0"/>
        <w:ind w:left="0" w:leftChars="0" w:firstLine="0" w:firstLineChars="0"/>
        <w:rPr>
          <w:rFonts w:hint="eastAsia"/>
          <w:color w:val="auto"/>
          <w:lang w:eastAsia="zh-CN"/>
        </w:rPr>
      </w:pPr>
      <w:r>
        <w:rPr>
          <w:rFonts w:hint="eastAsia"/>
          <w:color w:val="auto"/>
          <w:lang w:eastAsia="zh-CN"/>
        </w:rPr>
        <w:t>结论</w:t>
      </w:r>
    </w:p>
    <w:p>
      <w:pPr>
        <w:ind w:firstLine="48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eastAsia="zh-CN"/>
        </w:rPr>
        <w:t>建设年限：</w:t>
      </w:r>
      <w:r>
        <w:rPr>
          <w:rFonts w:hint="eastAsia" w:ascii="Times New Roman" w:hAnsi="Times New Roman" w:eastAsia="宋体" w:cs="Times New Roman"/>
          <w:color w:val="auto"/>
          <w:lang w:val="en-US" w:eastAsia="zh-CN"/>
        </w:rPr>
        <w:t>2023-2024年，本项目计划2023年下半年动工建设，2024年上半年完工。</w:t>
      </w:r>
    </w:p>
    <w:p>
      <w:pPr>
        <w:keepNext w:val="0"/>
        <w:keepLines w:val="0"/>
        <w:widowControl/>
        <w:suppressLineNumbers w:val="0"/>
        <w:jc w:val="left"/>
        <w:rPr>
          <w:rFonts w:hint="eastAsia" w:ascii="宋体" w:hAnsi="宋体" w:eastAsia="宋体" w:cs="宋体"/>
          <w:color w:val="auto"/>
          <w:lang w:val="en-US" w:eastAsia="zh-CN"/>
        </w:rPr>
      </w:pPr>
      <w:r>
        <w:rPr>
          <w:rFonts w:hint="eastAsia" w:ascii="宋体" w:hAnsi="宋体" w:eastAsia="宋体" w:cs="宋体"/>
          <w:color w:val="auto"/>
          <w:lang w:val="en-US" w:eastAsia="zh-CN"/>
        </w:rPr>
        <w:t>项目范围：</w:t>
      </w:r>
    </w:p>
    <w:p>
      <w:pPr>
        <w:rPr>
          <w:rFonts w:hint="eastAsia" w:ascii="宋体" w:hAnsi="宋体" w:eastAsia="宋体" w:cs="宋体"/>
          <w:color w:val="auto"/>
          <w:lang w:val="en-US" w:eastAsia="zh-CN"/>
        </w:rPr>
      </w:pPr>
      <w:r>
        <w:rPr>
          <w:rFonts w:hint="eastAsia" w:cs="宋体" w:asciiTheme="minorEastAsia" w:hAnsiTheme="minorEastAsia" w:eastAsiaTheme="minorEastAsia"/>
          <w:color w:val="auto"/>
          <w:sz w:val="28"/>
          <w:szCs w:val="21"/>
          <w:lang w:val="en-US" w:eastAsia="zh-CN"/>
        </w:rPr>
        <w:t>Y523沿线商铺、罗洞村部分村民、从化区公路管理中心附城养护站、从化区福利院、罗洞小学、家富食品有限公司、壹帆交通设施有限公司等</w:t>
      </w:r>
      <w:r>
        <w:rPr>
          <w:rFonts w:hint="eastAsia" w:ascii="宋体" w:hAnsi="宋体" w:eastAsia="宋体" w:cs="宋体"/>
          <w:color w:val="auto"/>
          <w:lang w:val="en-US" w:eastAsia="zh-CN"/>
        </w:rPr>
        <w:t xml:space="preserve">。     </w:t>
      </w:r>
    </w:p>
    <w:p>
      <w:pPr>
        <w:keepNext w:val="0"/>
        <w:keepLines w:val="0"/>
        <w:widowControl/>
        <w:suppressLineNumbers w:val="0"/>
        <w:jc w:val="left"/>
        <w:rPr>
          <w:rFonts w:hint="eastAsia" w:ascii="宋体" w:hAnsi="宋体" w:eastAsia="宋体" w:cs="宋体"/>
          <w:color w:val="auto"/>
          <w:lang w:val="en-US" w:eastAsia="zh-CN"/>
        </w:rPr>
      </w:pPr>
      <w:r>
        <w:rPr>
          <w:rFonts w:hint="eastAsia" w:ascii="宋体" w:hAnsi="宋体" w:eastAsia="宋体" w:cs="宋体"/>
          <w:color w:val="auto"/>
          <w:lang w:val="en-US" w:eastAsia="zh-CN"/>
        </w:rPr>
        <w:t>工程主要建设内容：</w:t>
      </w:r>
      <w:r>
        <w:rPr>
          <w:rFonts w:hint="eastAsia" w:cs="宋体" w:asciiTheme="minorEastAsia" w:hAnsiTheme="minorEastAsia" w:eastAsiaTheme="minorEastAsia"/>
          <w:color w:val="auto"/>
          <w:sz w:val="28"/>
          <w:szCs w:val="21"/>
          <w:lang w:eastAsia="zh-CN"/>
        </w:rPr>
        <w:t>本项目建设</w:t>
      </w:r>
      <w:r>
        <w:rPr>
          <w:rFonts w:hint="eastAsia" w:cs="宋体" w:asciiTheme="minorEastAsia" w:hAnsiTheme="minorEastAsia" w:eastAsiaTheme="minorEastAsia"/>
          <w:color w:val="auto"/>
          <w:sz w:val="28"/>
          <w:szCs w:val="21"/>
          <w:lang w:val="en-US" w:eastAsia="zh-CN"/>
        </w:rPr>
        <w:t>DN500污水主管约2120m，D400污水支管约109米，DN300支管约1551m，DN200支管约621m，D160*4接户管约1321m，φ1200预制装配式钢筋混凝土检查井29座，φ1000预制装配式钢筋混凝土检查井85座，φ1200预制装配式钢筋混凝土沉泥井（沉泥深度500mm）14座，φ1000预制装配式钢筋混凝土沉泥井（沉泥深度500mm）3座，φ630塑料检查井34座，雨污交汇井2座，倒虹井4座，φ110雨水立管362米</w:t>
      </w:r>
      <w:r>
        <w:rPr>
          <w:rFonts w:hint="eastAsia" w:eastAsia="宋体" w:cs="Times New Roman" w:asciiTheme="minorEastAsia" w:hAnsiTheme="minorEastAsia"/>
          <w:color w:val="auto"/>
          <w:sz w:val="28"/>
          <w:szCs w:val="21"/>
          <w:highlight w:val="none"/>
          <w:lang w:val="en-US" w:eastAsia="zh-CN"/>
        </w:rPr>
        <w:t>。</w:t>
      </w:r>
    </w:p>
    <w:p>
      <w:pPr>
        <w:pStyle w:val="99"/>
        <w:bidi w:val="0"/>
        <w:rPr>
          <w:rFonts w:hint="eastAsia" w:cs="Times New Roman"/>
          <w:color w:val="auto"/>
          <w:lang w:val="en-US" w:eastAsia="zh-CN"/>
        </w:rPr>
      </w:pPr>
      <w:r>
        <w:rPr>
          <w:rFonts w:hint="default" w:ascii="Times New Roman" w:hAnsi="Times New Roman" w:eastAsia="宋体" w:cs="Times New Roman"/>
          <w:color w:val="auto"/>
          <w:lang w:val="en-US" w:eastAsia="zh-CN"/>
        </w:rPr>
        <w:t>是否涉及地铁、铁路线路：</w:t>
      </w:r>
      <w:r>
        <w:rPr>
          <w:rFonts w:hint="eastAsia" w:ascii="Times New Roman" w:hAnsi="Times New Roman" w:eastAsia="宋体" w:cs="Times New Roman"/>
          <w:color w:val="auto"/>
          <w:lang w:val="en-US" w:eastAsia="zh-CN"/>
        </w:rPr>
        <w:t>本项目不涉及地铁、铁路线路</w:t>
      </w:r>
      <w:r>
        <w:rPr>
          <w:rFonts w:hint="eastAsia" w:cs="Times New Roman"/>
          <w:color w:val="auto"/>
          <w:lang w:val="en-US" w:eastAsia="zh-CN"/>
        </w:rPr>
        <w:t>。</w:t>
      </w:r>
    </w:p>
    <w:p>
      <w:pPr>
        <w:ind w:firstLine="48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环境敏感区：本工程范围位于从化区江埔街</w:t>
      </w:r>
      <w:r>
        <w:rPr>
          <w:rFonts w:hint="eastAsia" w:ascii="Times New Roman" w:hAnsi="Times New Roman" w:eastAsia="宋体" w:cs="Times New Roman"/>
          <w:color w:val="auto"/>
        </w:rPr>
        <w:t>管辖范围</w:t>
      </w:r>
      <w:r>
        <w:rPr>
          <w:rFonts w:hint="eastAsia" w:ascii="Times New Roman" w:hAnsi="Times New Roman" w:eastAsia="宋体" w:cs="Times New Roman"/>
          <w:color w:val="auto"/>
          <w:lang w:val="en-US" w:eastAsia="zh-CN"/>
        </w:rPr>
        <w:t>，经核实项目与水源保护区、生态保护红线范围不存在叠加；与环境空间管控区、环境空气一类区范围存在部分叠加，但本工程拟建内容不属于禁止开展的项目，详见环境保护章节。</w:t>
      </w:r>
    </w:p>
    <w:p>
      <w:pPr>
        <w:ind w:firstLine="48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是否涉及文物、树木：本项目不涉及文物古迹，也不涉及古树名木和树木的迁改。</w:t>
      </w:r>
    </w:p>
    <w:p>
      <w:pPr>
        <w:ind w:firstLine="480"/>
        <w:rPr>
          <w:rFonts w:hint="eastAsia" w:ascii="Times New Roman" w:hAnsi="Times New Roman" w:eastAsia="宋体" w:cs="Times New Roman"/>
          <w:color w:val="auto"/>
        </w:rPr>
      </w:pPr>
      <w:r>
        <w:rPr>
          <w:rFonts w:hint="default" w:ascii="Times New Roman" w:hAnsi="Times New Roman" w:eastAsia="宋体" w:cs="Times New Roman"/>
          <w:color w:val="auto"/>
          <w:lang w:val="en-US" w:eastAsia="zh-CN"/>
        </w:rPr>
        <w:t>社会稳定性风险评估</w:t>
      </w:r>
      <w:r>
        <w:rPr>
          <w:rFonts w:hint="eastAsia" w:ascii="Times New Roman" w:hAnsi="Times New Roman" w:eastAsia="宋体" w:cs="Times New Roman"/>
          <w:color w:val="auto"/>
          <w:lang w:val="en-US" w:eastAsia="zh-CN"/>
        </w:rPr>
        <w:t>：</w:t>
      </w:r>
      <w:r>
        <w:rPr>
          <w:rFonts w:hint="eastAsia" w:ascii="Times New Roman" w:hAnsi="Times New Roman" w:eastAsia="宋体" w:cs="Times New Roman"/>
          <w:color w:val="auto"/>
        </w:rPr>
        <w:t>本项目的工程技术为成熟技术，</w:t>
      </w:r>
      <w:r>
        <w:rPr>
          <w:rFonts w:hint="eastAsia" w:ascii="Times New Roman" w:hAnsi="Times New Roman" w:eastAsia="宋体" w:cs="Times New Roman"/>
          <w:color w:val="auto"/>
          <w:lang w:eastAsia="zh-CN"/>
        </w:rPr>
        <w:t>社会稳定性风险为低风险</w:t>
      </w:r>
      <w:r>
        <w:rPr>
          <w:rFonts w:hint="eastAsia" w:ascii="Times New Roman" w:hAnsi="Times New Roman" w:eastAsia="宋体" w:cs="Times New Roman"/>
          <w:color w:val="auto"/>
        </w:rPr>
        <w:t>。</w:t>
      </w:r>
    </w:p>
    <w:p>
      <w:pPr>
        <w:pStyle w:val="38"/>
        <w:rPr>
          <w:rFonts w:cs="宋体"/>
          <w:color w:val="auto"/>
          <w:sz w:val="32"/>
          <w:szCs w:val="40"/>
        </w:rPr>
      </w:pPr>
      <w:bookmarkStart w:id="8" w:name="_Toc25423"/>
      <w:bookmarkStart w:id="9" w:name="_Toc21747"/>
      <w:r>
        <w:rPr>
          <w:rFonts w:hint="eastAsia"/>
          <w:color w:val="auto"/>
          <w:highlight w:val="none"/>
          <w:lang w:eastAsia="zh-CN"/>
        </w:rPr>
        <w:t>城市概况及自然条件</w:t>
      </w:r>
      <w:bookmarkEnd w:id="8"/>
      <w:bookmarkEnd w:id="9"/>
    </w:p>
    <w:p>
      <w:pPr>
        <w:pStyle w:val="39"/>
        <w:rPr>
          <w:rFonts w:cs="宋体" w:asciiTheme="minorEastAsia" w:hAnsiTheme="minorEastAsia" w:eastAsiaTheme="minorEastAsia"/>
          <w:color w:val="auto"/>
          <w:sz w:val="28"/>
          <w:szCs w:val="28"/>
        </w:rPr>
      </w:pPr>
      <w:bookmarkStart w:id="10" w:name="_Toc6804"/>
      <w:r>
        <w:rPr>
          <w:rFonts w:cs="宋体" w:asciiTheme="minorEastAsia" w:hAnsiTheme="minorEastAsia" w:eastAsiaTheme="minorEastAsia"/>
          <w:color w:val="auto"/>
          <w:sz w:val="28"/>
          <w:szCs w:val="28"/>
        </w:rPr>
        <w:t>地理位置</w:t>
      </w:r>
      <w:bookmarkEnd w:id="10"/>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从化区地处广东省中部，广州市东北面，珠江三角洲到粤北山区的过渡带，属广州市县级区。区境东面与龙门县、增城区接壤，南面跟广州郊区毗邻，西面和清远区、花都区交界，北面同佛岗、新丰县相连。全区总面积1985平方公里。境内西北到东南最长直线距离约45公里，东北到正南边最大距离80公里。</w:t>
      </w:r>
    </w:p>
    <w:p>
      <w:pPr>
        <w:pStyle w:val="43"/>
        <w:rPr>
          <w:rFonts w:cs="宋体" w:asciiTheme="minorEastAsia" w:hAnsiTheme="minorEastAsia" w:eastAsiaTheme="minorEastAsia"/>
          <w:color w:val="auto"/>
          <w:sz w:val="28"/>
          <w:szCs w:val="18"/>
        </w:rPr>
      </w:pPr>
      <w:r>
        <w:rPr>
          <w:rFonts w:cs="宋体" w:asciiTheme="minorEastAsia" w:hAnsiTheme="minorEastAsia" w:eastAsiaTheme="minorEastAsia"/>
          <w:color w:val="auto"/>
          <w:sz w:val="28"/>
          <w:szCs w:val="18"/>
        </w:rPr>
        <w:drawing>
          <wp:inline distT="0" distB="0" distL="0" distR="0">
            <wp:extent cx="1866265" cy="2588895"/>
            <wp:effectExtent l="0" t="0" r="635" b="1905"/>
            <wp:docPr id="1" name="图片 1" descr="E:\公用院项目\01-5月-从化项目\0-成果\文本附图\从化区位置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E:\公用院项目\01-5月-从化项目\0-成果\文本附图\从化区位置图.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866265" cy="2588895"/>
                    </a:xfrm>
                    <a:prstGeom prst="rect">
                      <a:avLst/>
                    </a:prstGeom>
                    <a:noFill/>
                    <a:ln>
                      <a:noFill/>
                    </a:ln>
                  </pic:spPr>
                </pic:pic>
              </a:graphicData>
            </a:graphic>
          </wp:inline>
        </w:drawing>
      </w:r>
    </w:p>
    <w:p>
      <w:pPr>
        <w:pStyle w:val="91"/>
        <w:bidi w:val="0"/>
        <w:rPr>
          <w:rFonts w:cs="宋体"/>
          <w:color w:val="auto"/>
        </w:rPr>
      </w:pPr>
      <w:r>
        <w:rPr>
          <w:rFonts w:cs="宋体"/>
          <w:color w:val="auto"/>
        </w:rPr>
        <w:t>从化区位置图</w:t>
      </w:r>
    </w:p>
    <w:p>
      <w:pPr>
        <w:pStyle w:val="39"/>
        <w:rPr>
          <w:rFonts w:cs="宋体" w:asciiTheme="minorEastAsia" w:hAnsiTheme="minorEastAsia" w:eastAsiaTheme="minorEastAsia"/>
          <w:color w:val="auto"/>
          <w:sz w:val="28"/>
          <w:szCs w:val="28"/>
        </w:rPr>
      </w:pPr>
      <w:bookmarkStart w:id="11" w:name="_Toc3076"/>
      <w:r>
        <w:rPr>
          <w:rFonts w:cs="宋体" w:asciiTheme="minorEastAsia" w:hAnsiTheme="minorEastAsia" w:eastAsiaTheme="minorEastAsia"/>
          <w:color w:val="auto"/>
          <w:sz w:val="28"/>
          <w:szCs w:val="28"/>
        </w:rPr>
        <w:t>地形地貌</w:t>
      </w:r>
      <w:bookmarkEnd w:id="11"/>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从化处于珠江三角洲到粤北山区过渡地带上，自然景观多姿多彩，地理环境呈多元化的特点。全区除鳌头镇地势南高北低外，其余区域整体地势自北向南倾斜，东北高，西南低，地形呈阶梯状，整体地貌属半山区，东北部以山地、丘陵为主，中南部以丘陵、谷地为主，西部以丘陵、台地为主。区内最高点为良口镇的天堂顶，海拔1210m，是从化东部与龙门县的分界山。最低点为太平镇的太平村，海拔16.3m。</w:t>
      </w:r>
    </w:p>
    <w:p>
      <w:pPr>
        <w:pStyle w:val="39"/>
        <w:rPr>
          <w:rFonts w:cs="宋体" w:asciiTheme="minorEastAsia" w:hAnsiTheme="minorEastAsia" w:eastAsiaTheme="minorEastAsia"/>
          <w:color w:val="auto"/>
          <w:sz w:val="28"/>
          <w:szCs w:val="28"/>
        </w:rPr>
      </w:pPr>
      <w:bookmarkStart w:id="12" w:name="_Toc13096"/>
      <w:r>
        <w:rPr>
          <w:rFonts w:cs="宋体" w:asciiTheme="minorEastAsia" w:hAnsiTheme="minorEastAsia" w:eastAsiaTheme="minorEastAsia"/>
          <w:color w:val="auto"/>
          <w:sz w:val="28"/>
          <w:szCs w:val="28"/>
        </w:rPr>
        <w:t>气候</w:t>
      </w:r>
      <w:bookmarkEnd w:id="12"/>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从化地处低纬度地带，属南亚热带季候风气候，气候温和，雨量充沛。年平均气温19.5至21.4℃，7月份为高温期，平均温度为28.5℃，最高温度记录38.1℃；1月份为低温期，平均温度为12.2℃，最低温度记录为-7℃，冬霜期为5至10天，历年平均无霜期为324天。四季特征为春季冷暖多变，阴湿多雨，有“倒春寒”；夏季晴多温高，时有大风和暴雨；秋季气爽少雨，常遇干旱和“寒露风”；冬季多晴天，气候干燥，常见霜冻。气象灾害有水灾、旱灾、低温冷害、大风和冰雹等，常年日平均气温都高于0℃，日极端气温记录为38.1℃和零下7℃。中南部累年平均日照时数1809.3小时，北部为1697.6小时。全年降雨量累年平均值在1800至2200mm范围内，汛期4至9月降雨量占全年降雨量的80.8%，雨量分布的特点是自西南向东北递增。太平、神岗是市内少雨区，民乐、城郊北部、</w:t>
      </w:r>
      <w:r>
        <w:rPr>
          <w:rFonts w:cs="宋体" w:asciiTheme="minorEastAsia" w:hAnsiTheme="minorEastAsia" w:eastAsiaTheme="minorEastAsia"/>
          <w:color w:val="auto"/>
          <w:sz w:val="28"/>
          <w:szCs w:val="21"/>
          <w:highlight w:val="none"/>
        </w:rPr>
        <w:t>良口</w:t>
      </w:r>
      <w:r>
        <w:rPr>
          <w:rFonts w:cs="宋体" w:asciiTheme="minorEastAsia" w:hAnsiTheme="minorEastAsia" w:eastAsiaTheme="minorEastAsia"/>
          <w:color w:val="auto"/>
          <w:sz w:val="28"/>
          <w:szCs w:val="21"/>
        </w:rPr>
        <w:t>的年雨量则较大。</w:t>
      </w:r>
    </w:p>
    <w:p>
      <w:pPr>
        <w:pStyle w:val="39"/>
        <w:rPr>
          <w:rFonts w:cs="宋体" w:asciiTheme="minorEastAsia" w:hAnsiTheme="minorEastAsia" w:eastAsiaTheme="minorEastAsia"/>
          <w:color w:val="auto"/>
          <w:sz w:val="28"/>
          <w:szCs w:val="28"/>
        </w:rPr>
      </w:pPr>
      <w:bookmarkStart w:id="13" w:name="_Toc18384"/>
      <w:r>
        <w:rPr>
          <w:rFonts w:cs="宋体" w:asciiTheme="minorEastAsia" w:hAnsiTheme="minorEastAsia" w:eastAsiaTheme="minorEastAsia"/>
          <w:color w:val="auto"/>
          <w:sz w:val="28"/>
          <w:szCs w:val="28"/>
        </w:rPr>
        <w:t>水文</w:t>
      </w:r>
      <w:bookmarkEnd w:id="13"/>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从化区内山峦起伏、溪流纵横，主要的河流有流溪河及支流、琶江二河和连麻河。</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流溪河属珠江水系，自东北向西南流，纵贯全市境内，从化境内流域面积1612km²，从化境内河流长157km。流经花都区及广州市白云区，汇入白坭河后进入珠江广州河段，流溪河流域支流众多，从化境内集雨面积在100km²以上的主要支流有小海河、吕田河、玉溪水、龙潭河、牛栏河和汾田水等6条。</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琶江二河属北江水系，琶江河的一条分支流。位于从化西部，由东南向西北流，流域面积320km²，河长29.5km，</w:t>
      </w:r>
      <w:r>
        <w:rPr>
          <w:rFonts w:hint="eastAsia" w:cs="宋体" w:asciiTheme="minorEastAsia" w:hAnsiTheme="minorEastAsia" w:eastAsiaTheme="minorEastAsia"/>
          <w:color w:val="auto"/>
          <w:sz w:val="28"/>
          <w:szCs w:val="21"/>
          <w:highlight w:val="none"/>
          <w:lang w:eastAsia="zh-CN"/>
        </w:rPr>
        <w:t>流经</w:t>
      </w:r>
      <w:r>
        <w:rPr>
          <w:rFonts w:cs="宋体" w:asciiTheme="minorEastAsia" w:hAnsiTheme="minorEastAsia" w:eastAsiaTheme="minorEastAsia"/>
          <w:color w:val="auto"/>
          <w:sz w:val="28"/>
          <w:szCs w:val="21"/>
        </w:rPr>
        <w:t>佛冈、龙山汇入琶江。</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连麻河属东江水系，位于从化东北部，集雨面积77km²，从化境内河长15.5km，自西北向东南流，汇入龙门地派水系后汇入增江。</w:t>
      </w:r>
    </w:p>
    <w:p>
      <w:pPr>
        <w:pStyle w:val="43"/>
        <w:rPr>
          <w:rFonts w:cs="宋体" w:asciiTheme="minorEastAsia" w:hAnsiTheme="minorEastAsia" w:eastAsiaTheme="minorEastAsia"/>
          <w:color w:val="auto"/>
          <w:sz w:val="28"/>
          <w:szCs w:val="18"/>
        </w:rPr>
      </w:pPr>
      <w:r>
        <w:rPr>
          <w:rFonts w:cs="宋体" w:asciiTheme="minorEastAsia" w:hAnsiTheme="minorEastAsia" w:eastAsiaTheme="minorEastAsia"/>
          <w:color w:val="auto"/>
          <w:sz w:val="28"/>
          <w:szCs w:val="18"/>
        </w:rPr>
        <w:drawing>
          <wp:inline distT="0" distB="0" distL="0" distR="0">
            <wp:extent cx="4548505" cy="3248025"/>
            <wp:effectExtent l="0" t="0" r="4445" b="9525"/>
            <wp:docPr id="2" name="图片 2" descr="E:\公用院项目\01-5月-从化项目\0-成果\文本附图\从化区水系分布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E:\公用院项目\01-5月-从化项目\0-成果\文本附图\从化区水系分布图.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552200" cy="3250800"/>
                    </a:xfrm>
                    <a:prstGeom prst="rect">
                      <a:avLst/>
                    </a:prstGeom>
                    <a:noFill/>
                    <a:ln>
                      <a:noFill/>
                    </a:ln>
                  </pic:spPr>
                </pic:pic>
              </a:graphicData>
            </a:graphic>
          </wp:inline>
        </w:drawing>
      </w:r>
    </w:p>
    <w:p>
      <w:pPr>
        <w:pStyle w:val="91"/>
        <w:bidi w:val="0"/>
        <w:rPr>
          <w:rFonts w:cs="宋体"/>
          <w:color w:val="auto"/>
        </w:rPr>
      </w:pPr>
      <w:r>
        <w:rPr>
          <w:rFonts w:cs="宋体"/>
          <w:color w:val="auto"/>
        </w:rPr>
        <w:t>从化区水系分布</w:t>
      </w:r>
    </w:p>
    <w:p>
      <w:pPr>
        <w:pStyle w:val="39"/>
        <w:rPr>
          <w:rFonts w:cs="宋体" w:asciiTheme="minorEastAsia" w:hAnsiTheme="minorEastAsia" w:eastAsiaTheme="minorEastAsia"/>
          <w:color w:val="auto"/>
          <w:sz w:val="28"/>
          <w:szCs w:val="28"/>
        </w:rPr>
      </w:pPr>
      <w:bookmarkStart w:id="14" w:name="_Toc9718"/>
      <w:bookmarkStart w:id="15" w:name="_Toc13904"/>
      <w:r>
        <w:rPr>
          <w:rFonts w:cs="宋体" w:asciiTheme="minorEastAsia" w:hAnsiTheme="minorEastAsia" w:eastAsiaTheme="minorEastAsia"/>
          <w:color w:val="auto"/>
          <w:sz w:val="28"/>
          <w:szCs w:val="28"/>
        </w:rPr>
        <w:t>行政区划</w:t>
      </w:r>
      <w:bookmarkEnd w:id="14"/>
      <w:bookmarkEnd w:id="15"/>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从化区下辖街口、江埔、城郊等3个街道和太平镇、温泉镇、良口镇、吕田镇、鳌头镇等5个镇，有村民委员会221个和社区居民委员会44个。广州市属的流溪河林场、大岭山林场、黄龙带水库管理处等单位驻从化。</w:t>
      </w:r>
    </w:p>
    <w:p>
      <w:pPr>
        <w:pStyle w:val="39"/>
        <w:rPr>
          <w:rFonts w:cs="宋体" w:asciiTheme="minorEastAsia" w:hAnsiTheme="minorEastAsia" w:eastAsiaTheme="minorEastAsia"/>
          <w:color w:val="auto"/>
          <w:sz w:val="28"/>
          <w:szCs w:val="28"/>
        </w:rPr>
      </w:pPr>
      <w:bookmarkStart w:id="16" w:name="_Toc16193"/>
      <w:bookmarkStart w:id="17" w:name="_Toc17755"/>
      <w:r>
        <w:rPr>
          <w:rFonts w:cs="宋体" w:asciiTheme="minorEastAsia" w:hAnsiTheme="minorEastAsia" w:eastAsiaTheme="minorEastAsia"/>
          <w:color w:val="auto"/>
          <w:sz w:val="28"/>
          <w:szCs w:val="28"/>
        </w:rPr>
        <w:t>从化区人口概况</w:t>
      </w:r>
      <w:bookmarkEnd w:id="16"/>
      <w:bookmarkEnd w:id="17"/>
    </w:p>
    <w:p>
      <w:pPr>
        <w:ind w:firstLine="565"/>
        <w:rPr>
          <w:rFonts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eastAsia="zh-CN"/>
        </w:rPr>
        <w:t>20</w:t>
      </w:r>
      <w:r>
        <w:rPr>
          <w:rFonts w:hint="eastAsia" w:cs="宋体" w:asciiTheme="minorEastAsia" w:hAnsiTheme="minorEastAsia" w:eastAsiaTheme="minorEastAsia"/>
          <w:color w:val="auto"/>
          <w:sz w:val="28"/>
          <w:szCs w:val="21"/>
          <w:lang w:val="en-US" w:eastAsia="zh-CN"/>
        </w:rPr>
        <w:t>21</w:t>
      </w:r>
      <w:r>
        <w:rPr>
          <w:rFonts w:cs="宋体" w:asciiTheme="minorEastAsia" w:hAnsiTheme="minorEastAsia" w:eastAsiaTheme="minorEastAsia"/>
          <w:color w:val="auto"/>
          <w:sz w:val="28"/>
          <w:szCs w:val="21"/>
        </w:rPr>
        <w:t>年从化区常住人口</w:t>
      </w:r>
      <w:r>
        <w:rPr>
          <w:rFonts w:hint="eastAsia" w:cs="宋体" w:asciiTheme="minorEastAsia" w:hAnsiTheme="minorEastAsia" w:eastAsiaTheme="minorEastAsia"/>
          <w:color w:val="auto"/>
          <w:sz w:val="28"/>
          <w:szCs w:val="21"/>
          <w:lang w:val="en-US" w:eastAsia="zh-CN"/>
        </w:rPr>
        <w:t>72.74</w:t>
      </w:r>
      <w:r>
        <w:rPr>
          <w:rFonts w:cs="宋体" w:asciiTheme="minorEastAsia" w:hAnsiTheme="minorEastAsia" w:eastAsiaTheme="minorEastAsia"/>
          <w:color w:val="auto"/>
          <w:sz w:val="28"/>
          <w:szCs w:val="21"/>
        </w:rPr>
        <w:t>万，比2005年的47.27万增加</w:t>
      </w:r>
      <w:r>
        <w:rPr>
          <w:rFonts w:hint="eastAsia" w:cs="宋体" w:asciiTheme="minorEastAsia" w:hAnsiTheme="minorEastAsia" w:eastAsiaTheme="minorEastAsia"/>
          <w:color w:val="auto"/>
          <w:sz w:val="28"/>
          <w:szCs w:val="21"/>
          <w:lang w:val="en-US" w:eastAsia="zh-CN"/>
        </w:rPr>
        <w:t>25.47</w:t>
      </w:r>
      <w:r>
        <w:rPr>
          <w:rFonts w:cs="宋体" w:asciiTheme="minorEastAsia" w:hAnsiTheme="minorEastAsia" w:eastAsiaTheme="minorEastAsia"/>
          <w:color w:val="auto"/>
          <w:sz w:val="28"/>
          <w:szCs w:val="21"/>
        </w:rPr>
        <w:t>万，流动人口16万左右（从化区“四标</w:t>
      </w:r>
      <w:r>
        <w:rPr>
          <w:rFonts w:hint="eastAsia" w:cs="宋体" w:asciiTheme="minorEastAsia" w:hAnsiTheme="minorEastAsia" w:eastAsiaTheme="minorEastAsia"/>
          <w:color w:val="auto"/>
          <w:sz w:val="28"/>
          <w:szCs w:val="21"/>
          <w:lang w:eastAsia="zh-CN"/>
        </w:rPr>
        <w:t>四</w:t>
      </w:r>
      <w:r>
        <w:rPr>
          <w:rFonts w:cs="宋体" w:asciiTheme="minorEastAsia" w:hAnsiTheme="minorEastAsia" w:eastAsiaTheme="minorEastAsia"/>
          <w:color w:val="auto"/>
          <w:sz w:val="28"/>
          <w:szCs w:val="21"/>
        </w:rPr>
        <w:t>实”数据）。常住人口主要集中在心城区及太平、鳌头两个中心镇，占全区总人口的78.4%；流动人口主要分布在中心城区、高技术产业园太平镇及温；流动人口主要分布在中心城区、高技术产业园太平镇及温泉镇等产业、经济较为发达及高学校相对集中的地区。</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城镇化率由2010年的38.61%提升到</w:t>
      </w:r>
      <w:r>
        <w:rPr>
          <w:rFonts w:hint="eastAsia" w:cs="宋体" w:asciiTheme="minorEastAsia" w:hAnsiTheme="minorEastAsia" w:eastAsiaTheme="minorEastAsia"/>
          <w:color w:val="auto"/>
          <w:sz w:val="28"/>
          <w:szCs w:val="21"/>
          <w:lang w:eastAsia="zh-CN"/>
        </w:rPr>
        <w:t>20</w:t>
      </w:r>
      <w:r>
        <w:rPr>
          <w:rFonts w:hint="eastAsia" w:cs="宋体" w:asciiTheme="minorEastAsia" w:hAnsiTheme="minorEastAsia" w:eastAsiaTheme="minorEastAsia"/>
          <w:color w:val="auto"/>
          <w:sz w:val="28"/>
          <w:szCs w:val="21"/>
          <w:lang w:val="en-US" w:eastAsia="zh-CN"/>
        </w:rPr>
        <w:t>21</w:t>
      </w:r>
      <w:r>
        <w:rPr>
          <w:rFonts w:cs="宋体" w:asciiTheme="minorEastAsia" w:hAnsiTheme="minorEastAsia" w:eastAsiaTheme="minorEastAsia"/>
          <w:color w:val="auto"/>
          <w:sz w:val="28"/>
          <w:szCs w:val="21"/>
        </w:rPr>
        <w:t>年的4</w:t>
      </w:r>
      <w:r>
        <w:rPr>
          <w:rFonts w:hint="eastAsia" w:cs="宋体" w:asciiTheme="minorEastAsia" w:hAnsiTheme="minorEastAsia" w:eastAsiaTheme="minorEastAsia"/>
          <w:color w:val="auto"/>
          <w:sz w:val="28"/>
          <w:szCs w:val="21"/>
          <w:lang w:val="en-US" w:eastAsia="zh-CN"/>
        </w:rPr>
        <w:t>9</w:t>
      </w:r>
      <w:r>
        <w:rPr>
          <w:rFonts w:cs="宋体" w:asciiTheme="minorEastAsia" w:hAnsiTheme="minorEastAsia" w:eastAsiaTheme="minorEastAsia"/>
          <w:color w:val="auto"/>
          <w:sz w:val="28"/>
          <w:szCs w:val="21"/>
        </w:rPr>
        <w:t>.</w:t>
      </w:r>
      <w:r>
        <w:rPr>
          <w:rFonts w:hint="eastAsia" w:cs="宋体" w:asciiTheme="minorEastAsia" w:hAnsiTheme="minorEastAsia" w:eastAsiaTheme="minorEastAsia"/>
          <w:color w:val="auto"/>
          <w:sz w:val="28"/>
          <w:szCs w:val="21"/>
          <w:lang w:val="en-US" w:eastAsia="zh-CN"/>
        </w:rPr>
        <w:t>5</w:t>
      </w:r>
      <w:r>
        <w:rPr>
          <w:rFonts w:cs="宋体" w:asciiTheme="minorEastAsia" w:hAnsiTheme="minorEastAsia" w:eastAsiaTheme="minorEastAsia"/>
          <w:color w:val="auto"/>
          <w:sz w:val="28"/>
          <w:szCs w:val="21"/>
        </w:rPr>
        <w:t>1%，但尚未达到广东省、全国城镇化水平。</w:t>
      </w:r>
    </w:p>
    <w:p>
      <w:pPr>
        <w:ind w:firstLine="565"/>
        <w:rPr>
          <w:rFonts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eastAsia="zh-CN"/>
        </w:rPr>
        <w:t>20</w:t>
      </w:r>
      <w:r>
        <w:rPr>
          <w:rFonts w:hint="eastAsia" w:cs="宋体" w:asciiTheme="minorEastAsia" w:hAnsiTheme="minorEastAsia" w:eastAsiaTheme="minorEastAsia"/>
          <w:color w:val="auto"/>
          <w:sz w:val="28"/>
          <w:szCs w:val="21"/>
          <w:lang w:val="en-US" w:eastAsia="zh-CN"/>
        </w:rPr>
        <w:t>21</w:t>
      </w:r>
      <w:r>
        <w:rPr>
          <w:rFonts w:cs="宋体" w:asciiTheme="minorEastAsia" w:hAnsiTheme="minorEastAsia" w:eastAsiaTheme="minorEastAsia"/>
          <w:color w:val="auto"/>
          <w:sz w:val="28"/>
          <w:szCs w:val="21"/>
        </w:rPr>
        <w:t>年从化区户籍人口为6</w:t>
      </w:r>
      <w:r>
        <w:rPr>
          <w:rFonts w:hint="eastAsia" w:cs="宋体" w:asciiTheme="minorEastAsia" w:hAnsiTheme="minorEastAsia" w:eastAsiaTheme="minorEastAsia"/>
          <w:color w:val="auto"/>
          <w:sz w:val="28"/>
          <w:szCs w:val="21"/>
          <w:lang w:val="en-US" w:eastAsia="zh-CN"/>
        </w:rPr>
        <w:t>1.85</w:t>
      </w:r>
      <w:r>
        <w:rPr>
          <w:rFonts w:cs="宋体" w:asciiTheme="minorEastAsia" w:hAnsiTheme="minorEastAsia" w:eastAsiaTheme="minorEastAsia"/>
          <w:color w:val="auto"/>
          <w:sz w:val="28"/>
          <w:szCs w:val="21"/>
        </w:rPr>
        <w:t>万人，流动人口为16万人。其中，中心城区（街口、郊街、江埔）户籍人口2</w:t>
      </w:r>
      <w:r>
        <w:rPr>
          <w:rFonts w:hint="eastAsia" w:cs="宋体" w:asciiTheme="minorEastAsia" w:hAnsiTheme="minorEastAsia" w:eastAsiaTheme="minorEastAsia"/>
          <w:color w:val="auto"/>
          <w:sz w:val="28"/>
          <w:szCs w:val="21"/>
          <w:lang w:val="en-US" w:eastAsia="zh-CN"/>
        </w:rPr>
        <w:t>4.6</w:t>
      </w:r>
      <w:r>
        <w:rPr>
          <w:rFonts w:cs="宋体" w:asciiTheme="minorEastAsia" w:hAnsiTheme="minorEastAsia" w:eastAsiaTheme="minorEastAsia"/>
          <w:color w:val="auto"/>
          <w:sz w:val="28"/>
          <w:szCs w:val="21"/>
        </w:rPr>
        <w:t>5万人，流动人口共8.95万人；鳌头镇户籍人口14.</w:t>
      </w:r>
      <w:r>
        <w:rPr>
          <w:rFonts w:hint="eastAsia" w:cs="宋体" w:asciiTheme="minorEastAsia" w:hAnsiTheme="minorEastAsia" w:eastAsiaTheme="minorEastAsia"/>
          <w:color w:val="auto"/>
          <w:sz w:val="28"/>
          <w:szCs w:val="21"/>
          <w:lang w:val="en-US" w:eastAsia="zh-CN"/>
        </w:rPr>
        <w:t>73</w:t>
      </w:r>
      <w:r>
        <w:rPr>
          <w:rFonts w:cs="宋体" w:asciiTheme="minorEastAsia" w:hAnsiTheme="minorEastAsia" w:eastAsiaTheme="minorEastAsia"/>
          <w:color w:val="auto"/>
          <w:sz w:val="28"/>
          <w:szCs w:val="21"/>
        </w:rPr>
        <w:t>万人，流动人口0.97万人；太平镇户籍人口9.</w:t>
      </w:r>
      <w:r>
        <w:rPr>
          <w:rFonts w:hint="eastAsia" w:cs="宋体" w:asciiTheme="minorEastAsia" w:hAnsiTheme="minorEastAsia" w:eastAsiaTheme="minorEastAsia"/>
          <w:color w:val="auto"/>
          <w:sz w:val="28"/>
          <w:szCs w:val="21"/>
          <w:lang w:val="en-US" w:eastAsia="zh-CN"/>
        </w:rPr>
        <w:t>42</w:t>
      </w:r>
      <w:r>
        <w:rPr>
          <w:rFonts w:cs="宋体" w:asciiTheme="minorEastAsia" w:hAnsiTheme="minorEastAsia" w:eastAsiaTheme="minorEastAsia"/>
          <w:color w:val="auto"/>
          <w:sz w:val="28"/>
          <w:szCs w:val="21"/>
        </w:rPr>
        <w:t>万人，流动人口</w:t>
      </w:r>
      <w:r>
        <w:rPr>
          <w:rFonts w:hint="eastAsia" w:cs="宋体" w:asciiTheme="minorEastAsia" w:hAnsiTheme="minorEastAsia" w:eastAsiaTheme="minorEastAsia"/>
          <w:color w:val="auto"/>
          <w:sz w:val="28"/>
          <w:szCs w:val="21"/>
          <w:lang w:val="en-US" w:eastAsia="zh-CN"/>
        </w:rPr>
        <w:t>3.42</w:t>
      </w:r>
      <w:r>
        <w:rPr>
          <w:rFonts w:cs="宋体" w:asciiTheme="minorEastAsia" w:hAnsiTheme="minorEastAsia" w:eastAsiaTheme="minorEastAsia"/>
          <w:color w:val="auto"/>
          <w:sz w:val="28"/>
          <w:szCs w:val="21"/>
        </w:rPr>
        <w:t>万人；温泉镇户籍人口人5.</w:t>
      </w:r>
      <w:r>
        <w:rPr>
          <w:rFonts w:hint="eastAsia" w:cs="宋体" w:asciiTheme="minorEastAsia" w:hAnsiTheme="minorEastAsia" w:eastAsiaTheme="minorEastAsia"/>
          <w:color w:val="auto"/>
          <w:sz w:val="28"/>
          <w:szCs w:val="21"/>
          <w:lang w:val="en-US" w:eastAsia="zh-CN"/>
        </w:rPr>
        <w:t>16</w:t>
      </w:r>
      <w:r>
        <w:rPr>
          <w:rFonts w:cs="宋体" w:asciiTheme="minorEastAsia" w:hAnsiTheme="minorEastAsia" w:eastAsiaTheme="minorEastAsia"/>
          <w:color w:val="auto"/>
          <w:sz w:val="28"/>
          <w:szCs w:val="21"/>
        </w:rPr>
        <w:t>万人，流动人口1.90万人；良口镇户籍人口4.</w:t>
      </w:r>
      <w:r>
        <w:rPr>
          <w:rFonts w:hint="eastAsia" w:cs="宋体" w:asciiTheme="minorEastAsia" w:hAnsiTheme="minorEastAsia" w:eastAsiaTheme="minorEastAsia"/>
          <w:color w:val="auto"/>
          <w:sz w:val="28"/>
          <w:szCs w:val="21"/>
          <w:lang w:val="en-US" w:eastAsia="zh-CN"/>
        </w:rPr>
        <w:t>16</w:t>
      </w:r>
      <w:r>
        <w:rPr>
          <w:rFonts w:cs="宋体" w:asciiTheme="minorEastAsia" w:hAnsiTheme="minorEastAsia" w:eastAsiaTheme="minorEastAsia"/>
          <w:color w:val="auto"/>
          <w:sz w:val="28"/>
          <w:szCs w:val="21"/>
        </w:rPr>
        <w:t>万人，流动人口0.61万人；吕田镇户籍人口3.</w:t>
      </w:r>
      <w:r>
        <w:rPr>
          <w:rFonts w:hint="eastAsia" w:cs="宋体" w:asciiTheme="minorEastAsia" w:hAnsiTheme="minorEastAsia" w:eastAsiaTheme="minorEastAsia"/>
          <w:color w:val="auto"/>
          <w:sz w:val="28"/>
          <w:szCs w:val="21"/>
          <w:lang w:val="en-US" w:eastAsia="zh-CN"/>
        </w:rPr>
        <w:t>14</w:t>
      </w:r>
      <w:r>
        <w:rPr>
          <w:rFonts w:cs="宋体" w:asciiTheme="minorEastAsia" w:hAnsiTheme="minorEastAsia" w:eastAsiaTheme="minorEastAsia"/>
          <w:color w:val="auto"/>
          <w:sz w:val="28"/>
          <w:szCs w:val="21"/>
        </w:rPr>
        <w:t>万人，流动人口0.12万人</w:t>
      </w:r>
      <w:r>
        <w:rPr>
          <w:rFonts w:hint="eastAsia" w:cs="宋体" w:asciiTheme="minorEastAsia" w:hAnsiTheme="minorEastAsia" w:eastAsiaTheme="minorEastAsia"/>
          <w:color w:val="auto"/>
          <w:sz w:val="28"/>
          <w:szCs w:val="21"/>
          <w:lang w:eastAsia="zh-CN"/>
        </w:rPr>
        <w:t>，流溪河林场户籍人口</w:t>
      </w:r>
      <w:r>
        <w:rPr>
          <w:rFonts w:hint="eastAsia" w:cs="宋体" w:asciiTheme="minorEastAsia" w:hAnsiTheme="minorEastAsia" w:eastAsiaTheme="minorEastAsia"/>
          <w:color w:val="auto"/>
          <w:sz w:val="28"/>
          <w:szCs w:val="21"/>
          <w:lang w:val="en-US" w:eastAsia="zh-CN"/>
        </w:rPr>
        <w:t>0.59万人，流动人口0.03万人</w:t>
      </w:r>
      <w:r>
        <w:rPr>
          <w:rFonts w:cs="宋体" w:asciiTheme="minorEastAsia" w:hAnsiTheme="minorEastAsia" w:eastAsiaTheme="minorEastAsia"/>
          <w:color w:val="auto"/>
          <w:sz w:val="28"/>
          <w:szCs w:val="21"/>
        </w:rPr>
        <w:t>。</w:t>
      </w:r>
    </w:p>
    <w:p>
      <w:pPr>
        <w:pStyle w:val="39"/>
        <w:rPr>
          <w:rFonts w:hint="eastAsia" w:cs="Times New Roman" w:asciiTheme="minorEastAsia" w:hAnsiTheme="minorEastAsia" w:eastAsiaTheme="minorEastAsia"/>
          <w:color w:val="auto"/>
          <w:sz w:val="28"/>
          <w:szCs w:val="22"/>
          <w:highlight w:val="none"/>
          <w:lang w:eastAsia="zh-CN"/>
        </w:rPr>
      </w:pPr>
      <w:bookmarkStart w:id="18" w:name="_Toc31703"/>
      <w:bookmarkStart w:id="19" w:name="_Toc10442"/>
      <w:r>
        <w:rPr>
          <w:rFonts w:hint="eastAsia" w:cs="Times New Roman" w:asciiTheme="minorEastAsia" w:hAnsiTheme="minorEastAsia" w:eastAsiaTheme="minorEastAsia"/>
          <w:color w:val="auto"/>
          <w:sz w:val="28"/>
          <w:szCs w:val="22"/>
          <w:highlight w:val="none"/>
          <w:lang w:eastAsia="zh-CN"/>
        </w:rPr>
        <w:t>江埔街概况</w:t>
      </w:r>
      <w:bookmarkEnd w:id="18"/>
      <w:bookmarkEnd w:id="19"/>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从</w:t>
      </w:r>
      <w:r>
        <w:rPr>
          <w:rFonts w:hint="default" w:cs="宋体" w:asciiTheme="minorEastAsia" w:hAnsiTheme="minorEastAsia" w:eastAsiaTheme="minorEastAsia"/>
          <w:color w:val="auto"/>
          <w:sz w:val="28"/>
          <w:szCs w:val="21"/>
          <w:lang w:val="en-US" w:eastAsia="zh-CN"/>
        </w:rPr>
        <w:t>化区江埔街道办事处成立于2004年初，由原江埔镇撤镇设街而来。江埔街位于广州市从化区东部，东邻增城区，南邻太平镇，西邻街口街，北邻温泉镇。街道办事处办公地址设在从化区江埔街七星路16号，行政总面积102.6平方公里（按从化区统计局、区国家档案局等官方数据）。江埔街下设21个行政村和12个居委会，户籍人口约9.11万人（2021年末），常住人口14.63万人，来穗人员1.50万人。</w:t>
      </w:r>
    </w:p>
    <w:p>
      <w:pPr>
        <w:ind w:firstLine="480"/>
        <w:jc w:val="center"/>
        <w:rPr>
          <w:color w:val="auto"/>
          <w:sz w:val="21"/>
          <w:szCs w:val="21"/>
        </w:rPr>
      </w:pPr>
      <w:r>
        <w:rPr>
          <w:color w:val="auto"/>
        </w:rPr>
        <w:drawing>
          <wp:inline distT="0" distB="0" distL="114300" distR="114300">
            <wp:extent cx="3331210" cy="2675255"/>
            <wp:effectExtent l="0" t="0" r="2540" b="10795"/>
            <wp:docPr id="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
                    <pic:cNvPicPr>
                      <a:picLocks noChangeAspect="1"/>
                    </pic:cNvPicPr>
                  </pic:nvPicPr>
                  <pic:blipFill>
                    <a:blip r:embed="rId23"/>
                    <a:stretch>
                      <a:fillRect/>
                    </a:stretch>
                  </pic:blipFill>
                  <pic:spPr>
                    <a:xfrm>
                      <a:off x="0" y="0"/>
                      <a:ext cx="3331210" cy="2675255"/>
                    </a:xfrm>
                    <a:prstGeom prst="rect">
                      <a:avLst/>
                    </a:prstGeom>
                    <a:noFill/>
                    <a:ln w="9525" cap="flat" cmpd="sng">
                      <a:noFill/>
                      <a:prstDash val="solid"/>
                      <a:miter/>
                      <a:headEnd type="none" w="med" len="med"/>
                      <a:tailEnd type="none" w="med" len="med"/>
                    </a:ln>
                  </pic:spPr>
                </pic:pic>
              </a:graphicData>
            </a:graphic>
          </wp:inline>
        </w:drawing>
      </w:r>
    </w:p>
    <w:p>
      <w:pPr>
        <w:pStyle w:val="44"/>
        <w:ind w:left="3384" w:leftChars="0" w:firstLineChars="0"/>
        <w:jc w:val="both"/>
        <w:rPr>
          <w:color w:val="auto"/>
          <w:sz w:val="28"/>
          <w:szCs w:val="28"/>
        </w:rPr>
      </w:pPr>
      <w:r>
        <w:rPr>
          <w:rFonts w:hint="eastAsia"/>
          <w:color w:val="auto"/>
          <w:sz w:val="28"/>
          <w:szCs w:val="28"/>
          <w:lang w:eastAsia="zh-CN"/>
        </w:rPr>
        <w:t>江埔街</w:t>
      </w:r>
      <w:r>
        <w:rPr>
          <w:rFonts w:hint="eastAsia"/>
          <w:color w:val="auto"/>
          <w:sz w:val="28"/>
          <w:szCs w:val="28"/>
        </w:rPr>
        <w:t>区位图</w:t>
      </w:r>
    </w:p>
    <w:p>
      <w:pPr>
        <w:pStyle w:val="40"/>
        <w:numPr>
          <w:ilvl w:val="2"/>
          <w:numId w:val="9"/>
        </w:numPr>
        <w:bidi w:val="0"/>
        <w:rPr>
          <w:rFonts w:hint="eastAsia"/>
          <w:color w:val="auto"/>
          <w:lang w:eastAsia="zh-CN"/>
        </w:rPr>
      </w:pPr>
      <w:r>
        <w:rPr>
          <w:rFonts w:hint="eastAsia"/>
          <w:color w:val="auto"/>
          <w:lang w:eastAsia="zh-CN"/>
        </w:rPr>
        <w:t>江埔街交通</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从化区域交通便利，珠三角主要城市均可纳入从化3小时生活圈。未来广州中心与从化通过“两纵三横 +轨道交通”连接，交通网络将更为发达。两纵即指京珠高速与大广高速；三横即指北三环高速、增从高速附线（含佛清从高速）及汕湛高速；轨道交通即指广从轻轨。</w:t>
      </w:r>
    </w:p>
    <w:p>
      <w:pPr>
        <w:ind w:firstLine="565"/>
        <w:rPr>
          <w:rFonts w:hint="default"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江埔街</w:t>
      </w:r>
      <w:r>
        <w:rPr>
          <w:rFonts w:hint="default" w:cs="宋体" w:asciiTheme="minorEastAsia" w:hAnsiTheme="minorEastAsia" w:eastAsiaTheme="minorEastAsia"/>
          <w:color w:val="auto"/>
          <w:sz w:val="28"/>
          <w:szCs w:val="21"/>
          <w:lang w:val="en-US" w:eastAsia="zh-CN"/>
        </w:rPr>
        <w:t>交通便捷，广州地铁十四号线、从化客运站快速接驳广州市中心及粤港澳大湾区其他城市。国道G105线、国道G355线（原省道S355线）、省道S256线、增从高速公路、从化大道、从城大道等多条干道构成纵横交错的交通路网。</w:t>
      </w:r>
    </w:p>
    <w:p>
      <w:pPr>
        <w:pStyle w:val="39"/>
        <w:numPr>
          <w:ilvl w:val="1"/>
          <w:numId w:val="9"/>
        </w:numPr>
        <w:rPr>
          <w:rFonts w:hint="eastAsia" w:cs="宋体" w:asciiTheme="minorEastAsia" w:hAnsiTheme="minorEastAsia" w:eastAsiaTheme="minorEastAsia"/>
          <w:color w:val="auto"/>
          <w:sz w:val="28"/>
          <w:szCs w:val="28"/>
          <w:lang w:val="en-US" w:eastAsia="zh-CN"/>
        </w:rPr>
      </w:pPr>
      <w:bookmarkStart w:id="20" w:name="_Toc11321"/>
      <w:r>
        <w:rPr>
          <w:rFonts w:hint="eastAsia" w:cs="宋体" w:asciiTheme="minorEastAsia" w:hAnsiTheme="minorEastAsia" w:eastAsiaTheme="minorEastAsia"/>
          <w:color w:val="auto"/>
          <w:sz w:val="28"/>
          <w:szCs w:val="28"/>
          <w:lang w:val="en-US" w:eastAsia="zh-CN"/>
        </w:rPr>
        <w:t>用地现状</w:t>
      </w:r>
      <w:bookmarkEnd w:id="20"/>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根据全域数字化现状图，从区建设用地共约155.18平方公里，占全区总面积的7.81%，包括城乡居民点建设用地、区域交通</w:t>
      </w:r>
      <w:r>
        <w:rPr>
          <w:rFonts w:hint="eastAsia" w:cs="宋体" w:asciiTheme="minorEastAsia" w:hAnsiTheme="minorEastAsia" w:eastAsiaTheme="minorEastAsia"/>
          <w:color w:val="auto"/>
          <w:sz w:val="28"/>
          <w:szCs w:val="21"/>
          <w:highlight w:val="none"/>
          <w:lang w:eastAsia="zh-CN"/>
        </w:rPr>
        <w:t>施工</w:t>
      </w:r>
      <w:r>
        <w:rPr>
          <w:rFonts w:cs="宋体" w:asciiTheme="minorEastAsia" w:hAnsiTheme="minorEastAsia" w:eastAsiaTheme="minorEastAsia"/>
          <w:color w:val="auto"/>
          <w:sz w:val="28"/>
          <w:szCs w:val="21"/>
        </w:rPr>
        <w:t>特殊采矿等类型，其中城乡居民点建设用地128.09平方公里。现状建设用地以城镇、村庄路用地为主，面积分别71.17平方公里、56.93平方公里、20.14平方公里，三者总面积占现状建设用地规模的95.52%。现状非建设用地包括农林、水域和其他非建设用地，共1829.46平方公里，占全区总用地面积的92.19%。其中，农林用地1771.37平方公里，水域57.57平方公里，其他非建设用地0.51平方公里。</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对于城镇建设用地，以工业用地、居住用地、城市道路用地为主，并配套适量的商业服务业设施用地、公共服务设施用地，现状城镇建设用地共约71.17平方公里，占全区总用地面积的3.59%。其中，现状工业用地21.27平方公里，主要分布在明珠工业园和太平高技术产业园；居住用地15.38平方公里，主要分布在中心城区、太平镇、鳌头镇区、温泉镇等地；公共服务设施用地9.31平方公里，商业服务业设施用地6.88平方公里，主要分布在中心城区、太平镇区、鳌头镇区等地，结合居住用地布局，包括商业、行政办公、文化、康体娱乐、教育、体育、医疗等设施；城市道路用地12.8平方公里；公用设施用地1.76平方公里；绿地与广场用地2.05平方公里。</w:t>
      </w:r>
    </w:p>
    <w:p>
      <w:pPr>
        <w:pStyle w:val="36"/>
        <w:ind w:left="0" w:leftChars="0" w:firstLine="0" w:firstLineChars="0"/>
        <w:rPr>
          <w:rFonts w:hint="eastAsia" w:cs="宋体" w:eastAsiaTheme="minorEastAsia"/>
          <w:color w:val="auto"/>
          <w:sz w:val="28"/>
          <w:szCs w:val="18"/>
          <w:lang w:eastAsia="zh-CN"/>
        </w:rPr>
      </w:pPr>
    </w:p>
    <w:p>
      <w:pPr>
        <w:ind w:firstLine="0" w:firstLineChars="0"/>
        <w:jc w:val="center"/>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drawing>
          <wp:inline distT="0" distB="0" distL="0" distR="0">
            <wp:extent cx="5310505" cy="3145790"/>
            <wp:effectExtent l="0" t="0" r="4445" b="16510"/>
            <wp:docPr id="5" name="图片 5" descr="E:\公用院项目\01-5月-从化项目\0-成果\文本附图\土地利用现状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E:\公用院项目\01-5月-从化项目\0-成果\文本附图\土地利用现状图.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310505" cy="3145790"/>
                    </a:xfrm>
                    <a:prstGeom prst="rect">
                      <a:avLst/>
                    </a:prstGeom>
                    <a:noFill/>
                    <a:ln>
                      <a:noFill/>
                    </a:ln>
                  </pic:spPr>
                </pic:pic>
              </a:graphicData>
            </a:graphic>
          </wp:inline>
        </w:drawing>
      </w:r>
    </w:p>
    <w:p>
      <w:pPr>
        <w:pStyle w:val="91"/>
        <w:numPr>
          <w:ilvl w:val="8"/>
          <w:numId w:val="9"/>
        </w:numPr>
        <w:bidi w:val="0"/>
        <w:rPr>
          <w:rFonts w:cs="宋体"/>
          <w:color w:val="auto"/>
        </w:rPr>
      </w:pPr>
      <w:r>
        <w:rPr>
          <w:rFonts w:cs="宋体"/>
          <w:color w:val="auto"/>
        </w:rPr>
        <w:t>从化区土地利用现状图</w:t>
      </w:r>
    </w:p>
    <w:p>
      <w:pPr>
        <w:pStyle w:val="39"/>
        <w:numPr>
          <w:ilvl w:val="1"/>
          <w:numId w:val="9"/>
        </w:numPr>
        <w:rPr>
          <w:rFonts w:hint="eastAsia" w:cs="宋体" w:asciiTheme="minorEastAsia" w:hAnsiTheme="minorEastAsia" w:eastAsiaTheme="minorEastAsia"/>
          <w:color w:val="auto"/>
          <w:sz w:val="28"/>
          <w:szCs w:val="28"/>
          <w:lang w:val="en-US" w:eastAsia="zh-CN"/>
        </w:rPr>
      </w:pPr>
      <w:bookmarkStart w:id="21" w:name="_Toc14949"/>
      <w:bookmarkStart w:id="22" w:name="_Toc15503"/>
      <w:bookmarkStart w:id="23" w:name="_Toc16779"/>
      <w:r>
        <w:rPr>
          <w:rFonts w:hint="eastAsia" w:cs="宋体" w:asciiTheme="minorEastAsia" w:hAnsiTheme="minorEastAsia" w:eastAsiaTheme="minorEastAsia"/>
          <w:color w:val="auto"/>
          <w:sz w:val="28"/>
          <w:szCs w:val="28"/>
          <w:lang w:val="en-US" w:eastAsia="zh-CN"/>
        </w:rPr>
        <w:t>建设条件</w:t>
      </w:r>
      <w:bookmarkEnd w:id="21"/>
      <w:bookmarkEnd w:id="22"/>
    </w:p>
    <w:p>
      <w:pPr>
        <w:ind w:firstLine="480"/>
        <w:rPr>
          <w:rFonts w:hint="eastAsia"/>
          <w:color w:val="auto"/>
          <w:lang w:eastAsia="zh-CN"/>
        </w:rPr>
      </w:pPr>
      <w:r>
        <w:rPr>
          <w:rFonts w:hint="eastAsia" w:ascii="宋体" w:hAnsi="宋体" w:eastAsia="宋体" w:cs="宋体"/>
          <w:color w:val="auto"/>
          <w:lang w:eastAsia="zh-CN"/>
        </w:rPr>
        <w:t>施工场地位于江埔街</w:t>
      </w:r>
      <w:r>
        <w:rPr>
          <w:rFonts w:hint="eastAsia" w:ascii="宋体" w:hAnsi="宋体" w:cs="宋体"/>
          <w:color w:val="auto"/>
          <w:lang w:val="en-US" w:eastAsia="zh-CN"/>
        </w:rPr>
        <w:t>Y523乡道</w:t>
      </w:r>
      <w:r>
        <w:rPr>
          <w:rFonts w:hint="eastAsia" w:ascii="宋体" w:hAnsi="宋体" w:eastAsia="宋体" w:cs="宋体"/>
          <w:color w:val="auto"/>
          <w:lang w:eastAsia="zh-CN"/>
        </w:rPr>
        <w:t>，因现状管道位于道路下，故满足施工所需各种材料与机械的运输条件，区域内现状自来水、供电、通信信号已全域覆盖，</w:t>
      </w:r>
      <w:r>
        <w:rPr>
          <w:rFonts w:hint="eastAsia" w:ascii="宋体" w:hAnsi="宋体" w:eastAsia="宋体" w:cs="宋体"/>
          <w:color w:val="auto"/>
          <w:lang w:val="en-US" w:eastAsia="zh-CN"/>
        </w:rPr>
        <w:t>可以为施工提供必要的能源和设备支持</w:t>
      </w:r>
      <w:r>
        <w:rPr>
          <w:rFonts w:hint="eastAsia" w:ascii="宋体" w:hAnsi="宋体" w:cs="宋体"/>
          <w:color w:val="auto"/>
          <w:lang w:val="en-US" w:eastAsia="zh-CN"/>
        </w:rPr>
        <w:t>,</w:t>
      </w:r>
      <w:r>
        <w:rPr>
          <w:rFonts w:hint="eastAsia" w:ascii="宋体" w:hAnsi="宋体" w:eastAsia="宋体" w:cs="宋体"/>
          <w:color w:val="auto"/>
          <w:lang w:eastAsia="zh-CN"/>
        </w:rPr>
        <w:t>建设条件较好</w:t>
      </w:r>
      <w:r>
        <w:rPr>
          <w:rFonts w:hint="eastAsia" w:ascii="宋体" w:hAnsi="宋体" w:eastAsia="宋体" w:cs="宋体"/>
          <w:color w:val="auto"/>
        </w:rPr>
        <w:t>。</w:t>
      </w:r>
    </w:p>
    <w:p>
      <w:pPr>
        <w:rPr>
          <w:color w:val="auto"/>
        </w:rPr>
      </w:pPr>
      <w:r>
        <w:rPr>
          <w:rFonts w:cs="宋体"/>
          <w:color w:val="auto"/>
          <w:sz w:val="28"/>
          <w:szCs w:val="21"/>
        </w:rPr>
        <w:br w:type="page"/>
      </w:r>
    </w:p>
    <w:bookmarkEnd w:id="23"/>
    <w:p>
      <w:pPr>
        <w:pStyle w:val="38"/>
        <w:numPr>
          <w:ilvl w:val="0"/>
          <w:numId w:val="9"/>
        </w:numPr>
        <w:rPr>
          <w:rFonts w:hint="eastAsia" w:cs="宋体"/>
          <w:color w:val="auto"/>
          <w:sz w:val="32"/>
          <w:szCs w:val="40"/>
          <w:lang w:eastAsia="zh-CN"/>
        </w:rPr>
      </w:pPr>
      <w:bookmarkStart w:id="24" w:name="_Toc8548"/>
      <w:r>
        <w:rPr>
          <w:rFonts w:hint="eastAsia" w:cs="宋体"/>
          <w:color w:val="auto"/>
          <w:sz w:val="32"/>
          <w:szCs w:val="40"/>
          <w:lang w:val="en-US" w:eastAsia="zh-CN"/>
        </w:rPr>
        <w:t>Y523片区排水现状及存在问题</w:t>
      </w:r>
      <w:bookmarkEnd w:id="24"/>
    </w:p>
    <w:p>
      <w:pPr>
        <w:pStyle w:val="39"/>
        <w:numPr>
          <w:ilvl w:val="1"/>
          <w:numId w:val="9"/>
        </w:numPr>
        <w:rPr>
          <w:color w:val="auto"/>
        </w:rPr>
      </w:pPr>
      <w:bookmarkStart w:id="25" w:name="_Toc22656"/>
      <w:r>
        <w:rPr>
          <w:rFonts w:hint="eastAsia" w:cs="宋体" w:asciiTheme="minorEastAsia" w:hAnsiTheme="minorEastAsia" w:eastAsiaTheme="minorEastAsia"/>
          <w:color w:val="auto"/>
          <w:sz w:val="28"/>
          <w:szCs w:val="28"/>
          <w:lang w:eastAsia="zh-CN"/>
        </w:rPr>
        <w:t>Y523片区污水现状</w:t>
      </w:r>
      <w:bookmarkEnd w:id="25"/>
    </w:p>
    <w:p>
      <w:pPr>
        <w:pStyle w:val="40"/>
        <w:numPr>
          <w:ilvl w:val="2"/>
          <w:numId w:val="9"/>
        </w:numPr>
        <w:rPr>
          <w:rFonts w:hint="eastAsia" w:cs="宋体" w:asciiTheme="minorEastAsia" w:hAnsiTheme="minorEastAsia" w:eastAsiaTheme="minorEastAsia"/>
          <w:color w:val="auto"/>
          <w:sz w:val="28"/>
          <w:szCs w:val="28"/>
          <w:lang w:eastAsia="zh-CN"/>
        </w:rPr>
      </w:pPr>
      <w:r>
        <w:rPr>
          <w:rFonts w:hint="eastAsia" w:cs="宋体"/>
          <w:color w:val="auto"/>
          <w:sz w:val="28"/>
          <w:szCs w:val="28"/>
          <w:lang w:eastAsia="zh-CN"/>
        </w:rPr>
        <w:t>排污户</w:t>
      </w:r>
      <w:r>
        <w:rPr>
          <w:rFonts w:hint="eastAsia" w:cs="宋体"/>
          <w:color w:val="auto"/>
          <w:sz w:val="28"/>
          <w:szCs w:val="28"/>
        </w:rPr>
        <w:t>现状</w:t>
      </w:r>
    </w:p>
    <w:p>
      <w:pPr>
        <w:rPr>
          <w:rFonts w:hint="eastAsia" w:ascii="宋体" w:hAnsi="宋体"/>
          <w:color w:val="auto"/>
          <w:sz w:val="28"/>
          <w:lang w:val="en-US" w:eastAsia="zh-CN"/>
        </w:rPr>
      </w:pPr>
      <w:r>
        <w:rPr>
          <w:rFonts w:hint="eastAsia"/>
          <w:color w:val="auto"/>
          <w:lang w:eastAsia="zh-CN"/>
        </w:rPr>
        <w:t>通过对资料进行收集和分析，经实地现场踏勘，</w:t>
      </w:r>
      <w:r>
        <w:rPr>
          <w:rFonts w:hint="eastAsia"/>
          <w:color w:val="auto"/>
          <w:lang w:val="en-US" w:eastAsia="zh-CN"/>
        </w:rPr>
        <w:t>罗洞村部分村社已有了现状污水处理设施，但覆盖率不高，且多为合流制。因现状无市政污水管网，沿线的机关事业单位、工业企业、商铺等生产、生活污水均通过道路两侧的合流管道排至G105现状污水管或村中的无名河流中，河流最终汇入小海河内。对生态环境以及周边居民的生活都造成了较大影响。</w:t>
      </w:r>
    </w:p>
    <w:p>
      <w:pPr>
        <w:pStyle w:val="91"/>
        <w:widowControl w:val="0"/>
        <w:numPr>
          <w:ilvl w:val="8"/>
          <w:numId w:val="0"/>
        </w:numPr>
        <w:tabs>
          <w:tab w:val="left" w:pos="397"/>
        </w:tabs>
        <w:bidi w:val="0"/>
        <w:spacing w:line="360" w:lineRule="auto"/>
        <w:ind w:leftChars="0"/>
        <w:jc w:val="left"/>
        <w:rPr>
          <w:rFonts w:hint="eastAsia"/>
          <w:color w:val="auto"/>
          <w:lang w:val="en-US" w:eastAsia="zh-CN"/>
        </w:rPr>
      </w:pPr>
      <w:r>
        <w:rPr>
          <w:rFonts w:hint="eastAsia"/>
          <w:color w:val="auto"/>
          <w:lang w:val="en-US" w:eastAsia="zh-CN"/>
        </w:rPr>
        <w:drawing>
          <wp:inline distT="0" distB="0" distL="114300" distR="114300">
            <wp:extent cx="2767965" cy="2076450"/>
            <wp:effectExtent l="0" t="0" r="13335" b="0"/>
            <wp:docPr id="129" name="图片 129" descr="新塘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新塘社"/>
                    <pic:cNvPicPr>
                      <a:picLocks noChangeAspect="1"/>
                    </pic:cNvPicPr>
                  </pic:nvPicPr>
                  <pic:blipFill>
                    <a:blip r:embed="rId25"/>
                    <a:stretch>
                      <a:fillRect/>
                    </a:stretch>
                  </pic:blipFill>
                  <pic:spPr>
                    <a:xfrm>
                      <a:off x="0" y="0"/>
                      <a:ext cx="2767965" cy="2076450"/>
                    </a:xfrm>
                    <a:prstGeom prst="rect">
                      <a:avLst/>
                    </a:prstGeom>
                  </pic:spPr>
                </pic:pic>
              </a:graphicData>
            </a:graphic>
          </wp:inline>
        </w:drawing>
      </w:r>
      <w:r>
        <w:rPr>
          <w:rFonts w:hint="eastAsia"/>
          <w:color w:val="auto"/>
          <w:lang w:val="en-US" w:eastAsia="zh-CN"/>
        </w:rPr>
        <w:t xml:space="preserve">  </w:t>
      </w:r>
      <w:r>
        <w:rPr>
          <w:rFonts w:hint="eastAsia"/>
          <w:color w:val="auto"/>
          <w:lang w:val="en-US" w:eastAsia="zh-CN"/>
        </w:rPr>
        <w:drawing>
          <wp:inline distT="0" distB="0" distL="114300" distR="114300">
            <wp:extent cx="2732405" cy="2076450"/>
            <wp:effectExtent l="0" t="0" r="10795" b="0"/>
            <wp:docPr id="131" name="图片 131" descr="忠信社"/>
            <wp:cNvGraphicFramePr/>
            <a:graphic xmlns:a="http://schemas.openxmlformats.org/drawingml/2006/main">
              <a:graphicData uri="http://schemas.openxmlformats.org/drawingml/2006/picture">
                <pic:pic xmlns:pic="http://schemas.openxmlformats.org/drawingml/2006/picture">
                  <pic:nvPicPr>
                    <pic:cNvPr id="131" name="图片 131" descr="忠信社"/>
                    <pic:cNvPicPr/>
                  </pic:nvPicPr>
                  <pic:blipFill>
                    <a:blip r:embed="rId26"/>
                    <a:stretch>
                      <a:fillRect/>
                    </a:stretch>
                  </pic:blipFill>
                  <pic:spPr>
                    <a:xfrm>
                      <a:off x="0" y="0"/>
                      <a:ext cx="2732405" cy="2076450"/>
                    </a:xfrm>
                    <a:prstGeom prst="rect">
                      <a:avLst/>
                    </a:prstGeom>
                  </pic:spPr>
                </pic:pic>
              </a:graphicData>
            </a:graphic>
          </wp:inline>
        </w:drawing>
      </w:r>
    </w:p>
    <w:p>
      <w:pPr>
        <w:pStyle w:val="91"/>
        <w:numPr>
          <w:ilvl w:val="8"/>
          <w:numId w:val="9"/>
        </w:numPr>
        <w:bidi w:val="0"/>
        <w:rPr>
          <w:rFonts w:hint="eastAsia"/>
          <w:color w:val="auto"/>
          <w:lang w:val="en-US" w:eastAsia="zh-CN"/>
        </w:rPr>
      </w:pPr>
      <w:r>
        <w:rPr>
          <w:rFonts w:hint="eastAsia"/>
          <w:color w:val="auto"/>
          <w:lang w:val="en-US" w:eastAsia="zh-CN"/>
        </w:rPr>
        <w:t>罗洞村现状处理站</w:t>
      </w:r>
    </w:p>
    <w:p>
      <w:pPr>
        <w:pStyle w:val="91"/>
        <w:widowControl w:val="0"/>
        <w:numPr>
          <w:ilvl w:val="8"/>
          <w:numId w:val="0"/>
        </w:numPr>
        <w:tabs>
          <w:tab w:val="left" w:pos="397"/>
        </w:tabs>
        <w:bidi w:val="0"/>
        <w:spacing w:line="360" w:lineRule="auto"/>
        <w:ind w:leftChars="0"/>
        <w:jc w:val="both"/>
        <w:rPr>
          <w:rFonts w:hint="default"/>
          <w:color w:val="auto"/>
          <w:lang w:val="en-US" w:eastAsia="zh-CN"/>
        </w:rPr>
      </w:pPr>
      <w:r>
        <w:rPr>
          <w:rFonts w:hint="eastAsia"/>
          <w:color w:val="auto"/>
          <w:lang w:val="en-US" w:eastAsia="zh-CN"/>
        </w:rPr>
        <w:drawing>
          <wp:inline distT="0" distB="0" distL="114300" distR="114300">
            <wp:extent cx="2707640" cy="2033270"/>
            <wp:effectExtent l="0" t="0" r="16510" b="5080"/>
            <wp:docPr id="132" name="图片 132" descr="Y523 小海河支流 排口有水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Y523 小海河支流 排口有水流"/>
                    <pic:cNvPicPr>
                      <a:picLocks noChangeAspect="1"/>
                    </pic:cNvPicPr>
                  </pic:nvPicPr>
                  <pic:blipFill>
                    <a:blip r:embed="rId27"/>
                    <a:stretch>
                      <a:fillRect/>
                    </a:stretch>
                  </pic:blipFill>
                  <pic:spPr>
                    <a:xfrm>
                      <a:off x="0" y="0"/>
                      <a:ext cx="2707640" cy="2033270"/>
                    </a:xfrm>
                    <a:prstGeom prst="rect">
                      <a:avLst/>
                    </a:prstGeom>
                  </pic:spPr>
                </pic:pic>
              </a:graphicData>
            </a:graphic>
          </wp:inline>
        </w:drawing>
      </w:r>
      <w:r>
        <w:rPr>
          <w:rFonts w:hint="eastAsia"/>
          <w:color w:val="auto"/>
          <w:lang w:val="en-US" w:eastAsia="zh-CN"/>
        </w:rPr>
        <w:t xml:space="preserve">  </w:t>
      </w:r>
      <w:r>
        <w:rPr>
          <w:rFonts w:hint="default"/>
          <w:color w:val="auto"/>
          <w:lang w:val="en-US" w:eastAsia="zh-CN"/>
        </w:rPr>
        <w:drawing>
          <wp:inline distT="0" distB="0" distL="114300" distR="114300">
            <wp:extent cx="2644775" cy="1985645"/>
            <wp:effectExtent l="0" t="0" r="3175" b="14605"/>
            <wp:docPr id="133" name="图片 133" descr="Y523 小海河支流 排口有水流，且推测有工业污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Y523 小海河支流 排口有水流，且推测有工业污水"/>
                    <pic:cNvPicPr>
                      <a:picLocks noChangeAspect="1"/>
                    </pic:cNvPicPr>
                  </pic:nvPicPr>
                  <pic:blipFill>
                    <a:blip r:embed="rId28"/>
                    <a:stretch>
                      <a:fillRect/>
                    </a:stretch>
                  </pic:blipFill>
                  <pic:spPr>
                    <a:xfrm>
                      <a:off x="0" y="0"/>
                      <a:ext cx="2644775" cy="1985645"/>
                    </a:xfrm>
                    <a:prstGeom prst="rect">
                      <a:avLst/>
                    </a:prstGeom>
                  </pic:spPr>
                </pic:pic>
              </a:graphicData>
            </a:graphic>
          </wp:inline>
        </w:drawing>
      </w:r>
    </w:p>
    <w:p>
      <w:pPr>
        <w:pStyle w:val="91"/>
        <w:numPr>
          <w:ilvl w:val="8"/>
          <w:numId w:val="9"/>
        </w:numPr>
        <w:bidi w:val="0"/>
        <w:rPr>
          <w:rFonts w:hint="eastAsia"/>
          <w:color w:val="auto"/>
          <w:lang w:eastAsia="zh-CN"/>
        </w:rPr>
      </w:pPr>
      <w:r>
        <w:rPr>
          <w:rFonts w:hint="eastAsia"/>
          <w:color w:val="auto"/>
          <w:lang w:eastAsia="zh-CN"/>
        </w:rPr>
        <w:t>污水排至村内河流</w:t>
      </w:r>
    </w:p>
    <w:p>
      <w:pPr>
        <w:pStyle w:val="91"/>
        <w:numPr>
          <w:ilvl w:val="8"/>
          <w:numId w:val="0"/>
        </w:numPr>
        <w:bidi w:val="0"/>
        <w:ind w:leftChars="0"/>
        <w:jc w:val="both"/>
        <w:rPr>
          <w:rFonts w:hint="eastAsia"/>
          <w:color w:val="auto"/>
          <w:lang w:eastAsia="zh-CN"/>
        </w:rPr>
      </w:pPr>
      <w:r>
        <w:rPr>
          <w:rFonts w:hint="eastAsia"/>
          <w:color w:val="auto"/>
          <w:lang w:eastAsia="zh-CN"/>
        </w:rPr>
        <w:drawing>
          <wp:inline distT="0" distB="0" distL="114300" distR="114300">
            <wp:extent cx="2722245" cy="2044065"/>
            <wp:effectExtent l="0" t="0" r="1905" b="13335"/>
            <wp:docPr id="134" name="图片 134" descr="Y523 罗洞小学-道路西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Y523 罗洞小学-道路西侧"/>
                    <pic:cNvPicPr>
                      <a:picLocks noChangeAspect="1"/>
                    </pic:cNvPicPr>
                  </pic:nvPicPr>
                  <pic:blipFill>
                    <a:blip r:embed="rId29"/>
                    <a:stretch>
                      <a:fillRect/>
                    </a:stretch>
                  </pic:blipFill>
                  <pic:spPr>
                    <a:xfrm>
                      <a:off x="0" y="0"/>
                      <a:ext cx="2722245" cy="2044065"/>
                    </a:xfrm>
                    <a:prstGeom prst="rect">
                      <a:avLst/>
                    </a:prstGeom>
                  </pic:spPr>
                </pic:pic>
              </a:graphicData>
            </a:graphic>
          </wp:inline>
        </w:drawing>
      </w:r>
      <w:r>
        <w:rPr>
          <w:rFonts w:hint="eastAsia"/>
          <w:color w:val="auto"/>
          <w:lang w:val="en-US" w:eastAsia="zh-CN"/>
        </w:rPr>
        <w:t xml:space="preserve">  </w:t>
      </w:r>
      <w:r>
        <w:rPr>
          <w:rFonts w:hint="eastAsia"/>
          <w:color w:val="auto"/>
          <w:lang w:eastAsia="zh-CN"/>
        </w:rPr>
        <w:drawing>
          <wp:inline distT="0" distB="0" distL="114300" distR="114300">
            <wp:extent cx="2665730" cy="2001520"/>
            <wp:effectExtent l="0" t="0" r="1270" b="17780"/>
            <wp:docPr id="135" name="图片 135" descr="Y523 事业公建单位-从化区社会福利院-道路东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Y523 事业公建单位-从化区社会福利院-道路东侧"/>
                    <pic:cNvPicPr>
                      <a:picLocks noChangeAspect="1"/>
                    </pic:cNvPicPr>
                  </pic:nvPicPr>
                  <pic:blipFill>
                    <a:blip r:embed="rId30"/>
                    <a:stretch>
                      <a:fillRect/>
                    </a:stretch>
                  </pic:blipFill>
                  <pic:spPr>
                    <a:xfrm>
                      <a:off x="0" y="0"/>
                      <a:ext cx="2665730" cy="2001520"/>
                    </a:xfrm>
                    <a:prstGeom prst="rect">
                      <a:avLst/>
                    </a:prstGeom>
                  </pic:spPr>
                </pic:pic>
              </a:graphicData>
            </a:graphic>
          </wp:inline>
        </w:drawing>
      </w:r>
    </w:p>
    <w:p>
      <w:pPr>
        <w:pStyle w:val="44"/>
        <w:numPr>
          <w:ilvl w:val="8"/>
          <w:numId w:val="9"/>
        </w:numPr>
        <w:bidi w:val="0"/>
        <w:rPr>
          <w:rFonts w:hint="eastAsia"/>
          <w:color w:val="auto"/>
          <w:lang w:eastAsia="zh-CN"/>
        </w:rPr>
      </w:pPr>
      <w:r>
        <w:rPr>
          <w:rFonts w:hint="eastAsia"/>
          <w:color w:val="auto"/>
          <w:lang w:eastAsia="zh-CN"/>
        </w:rPr>
        <w:t>沿线机关事业单位</w:t>
      </w:r>
    </w:p>
    <w:p>
      <w:pPr>
        <w:rPr>
          <w:rFonts w:hint="eastAsia"/>
          <w:color w:val="auto"/>
          <w:lang w:eastAsia="zh-CN"/>
        </w:rPr>
      </w:pPr>
      <w:r>
        <w:rPr>
          <w:rFonts w:hint="eastAsia"/>
          <w:color w:val="auto"/>
          <w:lang w:eastAsia="zh-CN"/>
        </w:rPr>
        <w:t>根据现场调研，现状罗洞片区内主要的排污用户分布如下图：</w:t>
      </w:r>
    </w:p>
    <w:p>
      <w:pPr>
        <w:ind w:left="0" w:leftChars="0" w:firstLine="0" w:firstLineChars="0"/>
        <w:jc w:val="center"/>
        <w:rPr>
          <w:color w:val="auto"/>
        </w:rPr>
      </w:pPr>
      <w:r>
        <w:rPr>
          <w:color w:val="auto"/>
        </w:rPr>
        <w:drawing>
          <wp:inline distT="0" distB="0" distL="114300" distR="114300">
            <wp:extent cx="4471670" cy="5017135"/>
            <wp:effectExtent l="0" t="0" r="5080" b="12065"/>
            <wp:docPr id="1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5"/>
                    <pic:cNvPicPr>
                      <a:picLocks noChangeAspect="1"/>
                    </pic:cNvPicPr>
                  </pic:nvPicPr>
                  <pic:blipFill>
                    <a:blip r:embed="rId31"/>
                    <a:stretch>
                      <a:fillRect/>
                    </a:stretch>
                  </pic:blipFill>
                  <pic:spPr>
                    <a:xfrm>
                      <a:off x="0" y="0"/>
                      <a:ext cx="4471670" cy="5017135"/>
                    </a:xfrm>
                    <a:prstGeom prst="rect">
                      <a:avLst/>
                    </a:prstGeom>
                    <a:noFill/>
                    <a:ln>
                      <a:noFill/>
                    </a:ln>
                  </pic:spPr>
                </pic:pic>
              </a:graphicData>
            </a:graphic>
          </wp:inline>
        </w:drawing>
      </w:r>
    </w:p>
    <w:p>
      <w:pPr>
        <w:pStyle w:val="44"/>
        <w:numPr>
          <w:ilvl w:val="8"/>
          <w:numId w:val="9"/>
        </w:numPr>
        <w:bidi w:val="0"/>
        <w:rPr>
          <w:rFonts w:hint="eastAsia"/>
          <w:color w:val="auto"/>
          <w:lang w:eastAsia="zh-CN"/>
        </w:rPr>
      </w:pPr>
      <w:r>
        <w:rPr>
          <w:rFonts w:hint="eastAsia"/>
          <w:color w:val="auto"/>
          <w:lang w:eastAsia="zh-CN"/>
        </w:rPr>
        <w:t>罗洞片区内主要排污点分布图</w:t>
      </w:r>
    </w:p>
    <w:p>
      <w:pPr>
        <w:pStyle w:val="40"/>
        <w:numPr>
          <w:ilvl w:val="2"/>
          <w:numId w:val="9"/>
        </w:numPr>
        <w:rPr>
          <w:rFonts w:hint="eastAsia" w:cs="宋体"/>
          <w:color w:val="auto"/>
          <w:sz w:val="28"/>
          <w:szCs w:val="21"/>
          <w:lang w:val="en-US" w:eastAsia="zh-CN"/>
        </w:rPr>
      </w:pPr>
      <w:r>
        <w:rPr>
          <w:rFonts w:hint="eastAsia" w:cs="宋体" w:asciiTheme="minorEastAsia" w:hAnsiTheme="minorEastAsia" w:eastAsiaTheme="minorEastAsia"/>
          <w:color w:val="auto"/>
          <w:sz w:val="28"/>
          <w:szCs w:val="28"/>
          <w:lang w:eastAsia="zh-CN"/>
        </w:rPr>
        <w:t>市政污水现状</w:t>
      </w:r>
    </w:p>
    <w:p>
      <w:pPr>
        <w:ind w:firstLine="565"/>
        <w:rPr>
          <w:rFonts w:hint="default"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1.污水厂现状</w:t>
      </w:r>
    </w:p>
    <w:p>
      <w:pPr>
        <w:ind w:firstLine="565"/>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val="en-US" w:eastAsia="zh-CN"/>
        </w:rPr>
        <w:t xml:space="preserve">从化中心城区周边共有两座污水处理厂，分别是水质净化厂和中心城区污水处理厂。 </w:t>
      </w:r>
    </w:p>
    <w:p>
      <w:pPr>
        <w:ind w:firstLine="565"/>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val="en-US" w:eastAsia="zh-CN"/>
        </w:rPr>
        <w:t xml:space="preserve">水质净化厂位于街口街从城大道、青云路和蓝田堤路交界处，占地约 1.33 公顷，现状处理规模为 1.6 万 m³/d，尾水排放执行国家一级 A 排水标准。 </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中心城区污水处理厂位于江埔街南方村，占地约 10.6 公顷，现状处理规模为 5 万 m³/d，尾水排放执行国家一级 A 排水标准。</w:t>
      </w:r>
    </w:p>
    <w:p>
      <w:pPr>
        <w:ind w:firstLine="565"/>
        <w:rPr>
          <w:rFonts w:hint="eastAsia" w:cs="宋体" w:asciiTheme="minorEastAsia" w:hAnsiTheme="minorEastAsia" w:eastAsiaTheme="minorEastAsia"/>
          <w:color w:val="auto"/>
          <w:sz w:val="28"/>
          <w:szCs w:val="21"/>
          <w:lang w:eastAsia="zh-CN"/>
        </w:rPr>
      </w:pPr>
      <w:r>
        <w:rPr>
          <w:rFonts w:cs="宋体"/>
          <w:color w:val="auto"/>
          <w:sz w:val="28"/>
          <w:szCs w:val="21"/>
        </w:rPr>
        <w:drawing>
          <wp:inline distT="0" distB="0" distL="114300" distR="114300">
            <wp:extent cx="5305425" cy="2562225"/>
            <wp:effectExtent l="0" t="0" r="9525" b="9525"/>
            <wp:docPr id="1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3"/>
                    <pic:cNvPicPr>
                      <a:picLocks noChangeAspect="1"/>
                    </pic:cNvPicPr>
                  </pic:nvPicPr>
                  <pic:blipFill>
                    <a:blip r:embed="rId32"/>
                    <a:stretch>
                      <a:fillRect/>
                    </a:stretch>
                  </pic:blipFill>
                  <pic:spPr>
                    <a:xfrm>
                      <a:off x="0" y="0"/>
                      <a:ext cx="5305425" cy="2562225"/>
                    </a:xfrm>
                    <a:prstGeom prst="rect">
                      <a:avLst/>
                    </a:prstGeom>
                    <a:noFill/>
                    <a:ln>
                      <a:noFill/>
                    </a:ln>
                  </pic:spPr>
                </pic:pic>
              </a:graphicData>
            </a:graphic>
          </wp:inline>
        </w:drawing>
      </w:r>
    </w:p>
    <w:p>
      <w:pPr>
        <w:pStyle w:val="44"/>
        <w:numPr>
          <w:ilvl w:val="8"/>
          <w:numId w:val="9"/>
        </w:numPr>
        <w:bidi w:val="0"/>
        <w:rPr>
          <w:rFonts w:hint="eastAsia" w:cs="宋体" w:asciiTheme="minorEastAsia" w:hAnsiTheme="minorEastAsia" w:eastAsiaTheme="minorEastAsia"/>
          <w:color w:val="auto"/>
          <w:sz w:val="28"/>
          <w:szCs w:val="21"/>
          <w:lang w:eastAsia="zh-CN"/>
        </w:rPr>
      </w:pPr>
      <w:r>
        <w:rPr>
          <w:rStyle w:val="92"/>
          <w:rFonts w:hint="eastAsia"/>
          <w:color w:val="auto"/>
          <w:lang w:val="en-US" w:eastAsia="zh-CN"/>
        </w:rPr>
        <w:t>中心城区污水处理厂</w:t>
      </w:r>
      <w:r>
        <w:rPr>
          <w:rFonts w:hint="eastAsia" w:cs="宋体" w:asciiTheme="minorEastAsia" w:hAnsiTheme="minorEastAsia" w:eastAsiaTheme="minorEastAsia"/>
          <w:color w:val="auto"/>
          <w:sz w:val="28"/>
          <w:szCs w:val="21"/>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cs="宋体"/>
          <w:color w:val="auto"/>
          <w:sz w:val="28"/>
          <w:szCs w:val="21"/>
          <w:lang w:val="en-US" w:eastAsia="zh-CN"/>
        </w:rPr>
      </w:pPr>
      <w:r>
        <w:rPr>
          <w:rFonts w:hint="eastAsia" w:cs="宋体"/>
          <w:color w:val="auto"/>
          <w:sz w:val="28"/>
          <w:szCs w:val="21"/>
          <w:lang w:val="en-US" w:eastAsia="zh-CN"/>
        </w:rPr>
        <w:t>2.污水管网现状</w:t>
      </w:r>
    </w:p>
    <w:p>
      <w:pPr>
        <w:rPr>
          <w:rFonts w:hint="eastAsia" w:cs="宋体"/>
          <w:color w:val="auto"/>
          <w:sz w:val="28"/>
          <w:szCs w:val="21"/>
          <w:lang w:eastAsia="zh-CN"/>
        </w:rPr>
      </w:pPr>
      <w:r>
        <w:rPr>
          <w:rFonts w:hint="eastAsia" w:cs="宋体"/>
          <w:color w:val="auto"/>
          <w:sz w:val="28"/>
          <w:szCs w:val="21"/>
          <w:lang w:val="en-US" w:eastAsia="zh-CN"/>
        </w:rPr>
        <w:t xml:space="preserve">流溪河东岸区域（江埔街）现状污主管敷设相对完善，主要污水通道为沿江南路及从化大 道的现状污水管。沿江南路现状污水管 DN1200 上游由青苔坑泵站抽送过流溪河，经河东南路 转七星路进入沿江南路后一路往南敷设，收集两侧地块截流污水，在海塱村旁接入江湾路现状 污水管 DN1600，末端进入中心城区污水处理厂。G105 现状污水管 DN500~1200 起端在珠光御 景山水城，一路往南沿 G105 国道敷设，截收两侧地块排水，末端进入中心城区污水处理厂。 </w:t>
      </w:r>
    </w:p>
    <w:p>
      <w:pPr>
        <w:rPr>
          <w:rFonts w:hint="eastAsia" w:cs="宋体"/>
          <w:color w:val="auto"/>
          <w:sz w:val="28"/>
          <w:szCs w:val="21"/>
          <w:lang w:val="en-US" w:eastAsia="zh-CN"/>
        </w:rPr>
      </w:pPr>
      <w:r>
        <w:rPr>
          <w:rFonts w:hint="eastAsia" w:cs="宋体"/>
          <w:color w:val="auto"/>
          <w:sz w:val="28"/>
          <w:szCs w:val="21"/>
          <w:lang w:val="en-US" w:eastAsia="zh-CN"/>
        </w:rPr>
        <w:t>污水处理厂西侧地块则通过 G105 国道现状污水管 DN900 收集传输。江埔街现状纵向污水干管已经搭建完成，但横向干管尚未建设，如七星路、大江路缺失污水管。截污不彻底，污水收集率较低。</w:t>
      </w:r>
    </w:p>
    <w:p>
      <w:pPr>
        <w:rPr>
          <w:rFonts w:hint="eastAsia" w:cs="宋体" w:asciiTheme="minorEastAsia" w:hAnsiTheme="minorEastAsia" w:eastAsiaTheme="minorEastAsia"/>
          <w:color w:val="auto"/>
          <w:sz w:val="28"/>
          <w:szCs w:val="21"/>
          <w:lang w:val="en-US" w:eastAsia="zh-CN"/>
        </w:rPr>
      </w:pPr>
      <w:r>
        <w:rPr>
          <w:rFonts w:hint="eastAsia" w:cs="宋体"/>
          <w:color w:val="auto"/>
          <w:sz w:val="28"/>
          <w:szCs w:val="21"/>
          <w:lang w:val="en-US" w:eastAsia="zh-CN"/>
        </w:rPr>
        <w:t>本工程新建污水管将接入广从北路（G105国道）现状d1000管中，排入</w:t>
      </w:r>
      <w:r>
        <w:rPr>
          <w:rFonts w:hint="eastAsia" w:cs="宋体" w:asciiTheme="minorEastAsia" w:hAnsiTheme="minorEastAsia" w:eastAsiaTheme="minorEastAsia"/>
          <w:color w:val="auto"/>
          <w:sz w:val="28"/>
          <w:szCs w:val="21"/>
          <w:lang w:val="en-US" w:eastAsia="zh-CN"/>
        </w:rPr>
        <w:t>中心城区污水处理厂。</w:t>
      </w:r>
    </w:p>
    <w:p>
      <w:pPr>
        <w:rPr>
          <w:rFonts w:hint="eastAsia" w:cs="宋体"/>
          <w:color w:val="auto"/>
          <w:sz w:val="28"/>
          <w:szCs w:val="21"/>
          <w:lang w:eastAsia="zh-CN"/>
        </w:rPr>
      </w:pPr>
      <w:r>
        <w:rPr>
          <w:rFonts w:cs="宋体"/>
          <w:color w:val="auto"/>
          <w:sz w:val="28"/>
          <w:szCs w:val="21"/>
        </w:rPr>
        <w:drawing>
          <wp:inline distT="0" distB="0" distL="114300" distR="114300">
            <wp:extent cx="5791200" cy="4943475"/>
            <wp:effectExtent l="0" t="0" r="0" b="9525"/>
            <wp:docPr id="1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4"/>
                    <pic:cNvPicPr>
                      <a:picLocks noChangeAspect="1"/>
                    </pic:cNvPicPr>
                  </pic:nvPicPr>
                  <pic:blipFill>
                    <a:blip r:embed="rId33"/>
                    <a:stretch>
                      <a:fillRect/>
                    </a:stretch>
                  </pic:blipFill>
                  <pic:spPr>
                    <a:xfrm>
                      <a:off x="0" y="0"/>
                      <a:ext cx="5791200" cy="4943475"/>
                    </a:xfrm>
                    <a:prstGeom prst="rect">
                      <a:avLst/>
                    </a:prstGeom>
                    <a:noFill/>
                    <a:ln>
                      <a:noFill/>
                    </a:ln>
                  </pic:spPr>
                </pic:pic>
              </a:graphicData>
            </a:graphic>
          </wp:inline>
        </w:drawing>
      </w:r>
    </w:p>
    <w:p>
      <w:pPr>
        <w:pStyle w:val="91"/>
        <w:numPr>
          <w:ilvl w:val="8"/>
          <w:numId w:val="9"/>
        </w:numPr>
        <w:bidi w:val="0"/>
        <w:rPr>
          <w:color w:val="auto"/>
        </w:rPr>
      </w:pPr>
      <w:r>
        <w:rPr>
          <w:rFonts w:hint="eastAsia"/>
          <w:color w:val="auto"/>
          <w:lang w:eastAsia="zh-CN"/>
        </w:rPr>
        <w:t>中心城区</w:t>
      </w:r>
      <w:r>
        <w:rPr>
          <w:color w:val="auto"/>
        </w:rPr>
        <w:t>现状污水管</w:t>
      </w:r>
      <w:r>
        <w:rPr>
          <w:rFonts w:hint="eastAsia"/>
          <w:color w:val="auto"/>
          <w:lang w:eastAsia="zh-CN"/>
        </w:rPr>
        <w:t>网</w:t>
      </w:r>
    </w:p>
    <w:p>
      <w:pPr>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根据现场踏勘，打开井盖查看管道水位并检测氨氮含量，目前管道运行水位适中，但因上游存在合流管道接入，污水浓度较低。</w:t>
      </w:r>
    </w:p>
    <w:p>
      <w:pPr>
        <w:pStyle w:val="91"/>
        <w:numPr>
          <w:ilvl w:val="8"/>
          <w:numId w:val="0"/>
        </w:numPr>
        <w:bidi w:val="0"/>
        <w:ind w:leftChars="0"/>
        <w:jc w:val="both"/>
        <w:rPr>
          <w:color w:val="auto"/>
        </w:rPr>
      </w:pPr>
    </w:p>
    <w:p>
      <w:pPr>
        <w:pStyle w:val="91"/>
        <w:numPr>
          <w:ilvl w:val="8"/>
          <w:numId w:val="0"/>
        </w:numPr>
        <w:bidi w:val="0"/>
        <w:ind w:leftChars="0"/>
        <w:jc w:val="center"/>
        <w:rPr>
          <w:rFonts w:hint="default" w:cs="宋体" w:asciiTheme="minorEastAsia" w:hAnsiTheme="minorEastAsia" w:eastAsiaTheme="minorEastAsia"/>
          <w:color w:val="auto"/>
          <w:sz w:val="28"/>
          <w:szCs w:val="21"/>
          <w:lang w:val="en-US" w:eastAsia="zh-CN"/>
        </w:rPr>
      </w:pPr>
      <w:r>
        <w:rPr>
          <w:rFonts w:hint="default" w:cs="宋体" w:asciiTheme="minorEastAsia" w:hAnsiTheme="minorEastAsia" w:eastAsiaTheme="minorEastAsia"/>
          <w:color w:val="auto"/>
          <w:sz w:val="28"/>
          <w:szCs w:val="21"/>
          <w:lang w:val="en-US" w:eastAsia="zh-CN"/>
        </w:rPr>
        <w:drawing>
          <wp:inline distT="0" distB="0" distL="114300" distR="114300">
            <wp:extent cx="5057140" cy="3797300"/>
            <wp:effectExtent l="0" t="0" r="10160" b="12700"/>
            <wp:docPr id="139" name="图片 139" descr="34f35ccfcec0c984129f54f14606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34f35ccfcec0c984129f54f14606217"/>
                    <pic:cNvPicPr>
                      <a:picLocks noChangeAspect="1"/>
                    </pic:cNvPicPr>
                  </pic:nvPicPr>
                  <pic:blipFill>
                    <a:blip r:embed="rId34"/>
                    <a:stretch>
                      <a:fillRect/>
                    </a:stretch>
                  </pic:blipFill>
                  <pic:spPr>
                    <a:xfrm>
                      <a:off x="0" y="0"/>
                      <a:ext cx="5057140" cy="3797300"/>
                    </a:xfrm>
                    <a:prstGeom prst="rect">
                      <a:avLst/>
                    </a:prstGeom>
                  </pic:spPr>
                </pic:pic>
              </a:graphicData>
            </a:graphic>
          </wp:inline>
        </w:drawing>
      </w:r>
    </w:p>
    <w:p>
      <w:pPr>
        <w:pStyle w:val="91"/>
        <w:numPr>
          <w:ilvl w:val="8"/>
          <w:numId w:val="9"/>
        </w:numPr>
        <w:bidi w:val="0"/>
        <w:rPr>
          <w:color w:val="auto"/>
        </w:rPr>
      </w:pPr>
      <w:r>
        <w:rPr>
          <w:rFonts w:hint="eastAsia"/>
          <w:color w:val="auto"/>
          <w:lang w:val="en-US" w:eastAsia="zh-CN"/>
        </w:rPr>
        <w:t>G105国道管道接驳处水位</w:t>
      </w:r>
    </w:p>
    <w:p>
      <w:pPr>
        <w:rPr>
          <w:rFonts w:hint="eastAsia" w:ascii="Times New Roman" w:hAnsi="Times New Roman" w:cs="Times New Roman" w:eastAsiaTheme="minorEastAsia"/>
          <w:color w:val="auto"/>
          <w:sz w:val="28"/>
          <w:szCs w:val="21"/>
          <w:lang w:val="en-US" w:eastAsia="zh-CN"/>
        </w:rPr>
      </w:pPr>
      <w:r>
        <w:rPr>
          <w:rFonts w:hint="default" w:ascii="Times New Roman" w:hAnsi="Times New Roman" w:cs="Times New Roman" w:eastAsiaTheme="minorEastAsia"/>
          <w:color w:val="auto"/>
          <w:sz w:val="28"/>
          <w:szCs w:val="21"/>
          <w:lang w:val="en-US" w:eastAsia="zh-CN"/>
        </w:rPr>
        <w:t>据《从化区污水专项规划》计算，G105国道主管远期(2035</w:t>
      </w:r>
      <w:r>
        <w:rPr>
          <w:rFonts w:hint="eastAsia" w:ascii="Times New Roman" w:hAnsi="Times New Roman" w:cs="Times New Roman" w:eastAsiaTheme="minorEastAsia"/>
          <w:color w:val="auto"/>
          <w:sz w:val="28"/>
          <w:szCs w:val="21"/>
          <w:lang w:val="en-US" w:eastAsia="zh-CN"/>
        </w:rPr>
        <w:t>年</w:t>
      </w:r>
      <w:r>
        <w:rPr>
          <w:rFonts w:hint="default" w:ascii="Times New Roman" w:hAnsi="Times New Roman" w:cs="Times New Roman" w:eastAsiaTheme="minorEastAsia"/>
          <w:color w:val="auto"/>
          <w:sz w:val="28"/>
          <w:szCs w:val="21"/>
          <w:lang w:val="en-US" w:eastAsia="zh-CN"/>
        </w:rPr>
        <w:t>)</w:t>
      </w:r>
      <w:r>
        <w:rPr>
          <w:rFonts w:hint="eastAsia" w:ascii="Times New Roman" w:hAnsi="Times New Roman" w:cs="Times New Roman" w:eastAsiaTheme="minorEastAsia"/>
          <w:color w:val="auto"/>
          <w:sz w:val="28"/>
          <w:szCs w:val="21"/>
          <w:lang w:val="en-US" w:eastAsia="zh-CN"/>
        </w:rPr>
        <w:t>日排水量为921.12万m³/d、流量达到682.87L/s、充满度达75%，管道排水负荷较大，故规划提出对G105国道污水主管进行改造：“建议对105 国道污水主管和城东北路污水主管在城中北路与105 国道交汇处进行连通，利用泵闸方式进行调度，调借两段主管的负荷。”</w:t>
      </w:r>
    </w:p>
    <w:p>
      <w:pPr>
        <w:rPr>
          <w:rFonts w:hint="default" w:ascii="Times New Roman" w:hAnsi="Times New Roman" w:cs="Times New Roman" w:eastAsiaTheme="minorEastAsia"/>
          <w:color w:val="auto"/>
          <w:sz w:val="28"/>
          <w:szCs w:val="21"/>
          <w:lang w:val="en-US" w:eastAsia="zh-CN"/>
        </w:rPr>
      </w:pPr>
      <w:r>
        <w:rPr>
          <w:rFonts w:hint="eastAsia" w:ascii="Times New Roman" w:hAnsi="Times New Roman" w:cs="Times New Roman" w:eastAsiaTheme="minorEastAsia"/>
          <w:color w:val="auto"/>
          <w:sz w:val="28"/>
          <w:szCs w:val="21"/>
          <w:lang w:val="en-US" w:eastAsia="zh-CN"/>
        </w:rPr>
        <w:t>该改造方案属远期实施项目，将由主管部门视实际情况实施。</w:t>
      </w:r>
    </w:p>
    <w:p>
      <w:pPr>
        <w:pStyle w:val="40"/>
        <w:numPr>
          <w:ilvl w:val="2"/>
          <w:numId w:val="9"/>
        </w:numPr>
        <w:bidi w:val="0"/>
        <w:rPr>
          <w:rFonts w:hint="eastAsia" w:ascii="宋体" w:hAnsi="宋体" w:eastAsia="宋体" w:cs="宋体"/>
          <w:color w:val="auto"/>
          <w:kern w:val="2"/>
          <w:sz w:val="28"/>
          <w:szCs w:val="22"/>
          <w:lang w:val="en-US" w:eastAsia="zh-CN" w:bidi="ar-SA"/>
        </w:rPr>
      </w:pPr>
      <w:r>
        <w:rPr>
          <w:rFonts w:hint="eastAsia" w:ascii="宋体" w:hAnsi="宋体" w:eastAsia="宋体" w:cs="宋体"/>
          <w:color w:val="auto"/>
          <w:kern w:val="2"/>
          <w:sz w:val="28"/>
          <w:szCs w:val="22"/>
          <w:lang w:val="en-US" w:eastAsia="zh-CN" w:bidi="ar-SA"/>
        </w:rPr>
        <w:t>市政雨水现状</w:t>
      </w:r>
    </w:p>
    <w:p>
      <w:pPr>
        <w:bidi w:val="0"/>
        <w:rPr>
          <w:rFonts w:hint="eastAsia"/>
          <w:color w:val="auto"/>
          <w:lang w:val="en-US" w:eastAsia="zh-CN"/>
        </w:rPr>
      </w:pPr>
      <w:r>
        <w:rPr>
          <w:rFonts w:hint="eastAsia"/>
          <w:color w:val="auto"/>
          <w:lang w:val="en-US" w:eastAsia="zh-CN"/>
        </w:rPr>
        <w:t xml:space="preserve">从化区中心城区大部分现状以合流制排水体制为主，大部分管道为合流排水管道，无独立雨水管网系统。其中，以中心城区为例，城区现状排水管网数据显示，排水系统主要以合流制排水系统为主，其中合流管占比 </w:t>
      </w:r>
      <w:r>
        <w:rPr>
          <w:rFonts w:hint="default"/>
          <w:color w:val="auto"/>
          <w:lang w:val="en-US" w:eastAsia="zh-CN"/>
        </w:rPr>
        <w:t>53%</w:t>
      </w:r>
      <w:r>
        <w:rPr>
          <w:rFonts w:hint="eastAsia"/>
          <w:color w:val="auto"/>
          <w:lang w:val="en-US" w:eastAsia="zh-CN"/>
        </w:rPr>
        <w:t xml:space="preserve">，总长度约 </w:t>
      </w:r>
      <w:r>
        <w:rPr>
          <w:rFonts w:hint="default"/>
          <w:color w:val="auto"/>
          <w:lang w:val="en-US" w:eastAsia="zh-CN"/>
        </w:rPr>
        <w:t xml:space="preserve">111.1 </w:t>
      </w:r>
      <w:r>
        <w:rPr>
          <w:rFonts w:hint="eastAsia"/>
          <w:color w:val="auto"/>
          <w:lang w:val="en-US" w:eastAsia="zh-CN"/>
        </w:rPr>
        <w:t xml:space="preserve">公里，纯污水管道占比 </w:t>
      </w:r>
      <w:r>
        <w:rPr>
          <w:rFonts w:hint="default"/>
          <w:color w:val="auto"/>
          <w:lang w:val="en-US" w:eastAsia="zh-CN"/>
        </w:rPr>
        <w:t>27%</w:t>
      </w:r>
      <w:r>
        <w:rPr>
          <w:rFonts w:hint="eastAsia"/>
          <w:color w:val="auto"/>
          <w:lang w:val="en-US" w:eastAsia="zh-CN"/>
        </w:rPr>
        <w:t xml:space="preserve">，总长度约 </w:t>
      </w:r>
      <w:r>
        <w:rPr>
          <w:rFonts w:hint="default"/>
          <w:color w:val="auto"/>
          <w:lang w:val="en-US" w:eastAsia="zh-CN"/>
        </w:rPr>
        <w:t xml:space="preserve">55.7 </w:t>
      </w:r>
      <w:r>
        <w:rPr>
          <w:rFonts w:hint="eastAsia"/>
          <w:color w:val="auto"/>
          <w:lang w:val="en-US" w:eastAsia="zh-CN"/>
        </w:rPr>
        <w:t>公里。</w:t>
      </w:r>
    </w:p>
    <w:p>
      <w:pPr>
        <w:bidi w:val="0"/>
        <w:rPr>
          <w:rFonts w:hint="eastAsia"/>
          <w:color w:val="auto"/>
          <w:lang w:val="en-US" w:eastAsia="zh-CN"/>
        </w:rPr>
      </w:pPr>
      <w:r>
        <w:rPr>
          <w:rFonts w:hint="eastAsia"/>
          <w:color w:val="auto"/>
          <w:lang w:val="en-US" w:eastAsia="zh-CN"/>
        </w:rPr>
        <w:t>现有合流排水管道建设年代较久，设计工况基本按照雨季行洪工况设计，对于旱季纯污水量而言，管渠规格偏大，水流流速较慢，长距离转输，污水中的颗粒物将会在管道内沿途逐渐沉降，这些颗粒在沉淀过程中会携带大量的有机物质沉淀，不仅造成管道淤积，进厂水质浓度也随之降低。降雨时污水经合流管道进入河道中，导致河流生态系统受到破坏。</w:t>
      </w:r>
    </w:p>
    <w:p>
      <w:pPr>
        <w:bidi w:val="0"/>
        <w:rPr>
          <w:rFonts w:hint="eastAsia"/>
          <w:color w:val="auto"/>
          <w:lang w:val="en-US" w:eastAsia="zh-CN"/>
        </w:rPr>
      </w:pPr>
      <w:r>
        <w:rPr>
          <w:rFonts w:hint="eastAsia"/>
          <w:color w:val="auto"/>
          <w:lang w:val="en-US" w:eastAsia="zh-CN"/>
        </w:rPr>
        <w:t>罗洞片区内现状存在一套雨污合流管渠，分为位于凤凰水直流两岸的村民聚集地以及终点处罗洞牌坊处一条合流渠及两条合流管。具体分布及规格如下图所示。</w:t>
      </w:r>
    </w:p>
    <w:p>
      <w:pPr>
        <w:bidi w:val="0"/>
        <w:ind w:left="0" w:leftChars="0" w:firstLine="0" w:firstLineChars="0"/>
        <w:jc w:val="center"/>
        <w:rPr>
          <w:color w:val="auto"/>
        </w:rPr>
      </w:pPr>
      <w:r>
        <w:rPr>
          <w:color w:val="auto"/>
        </w:rPr>
        <w:drawing>
          <wp:inline distT="0" distB="0" distL="114300" distR="114300">
            <wp:extent cx="4444365" cy="4395470"/>
            <wp:effectExtent l="0" t="0" r="13335" b="5080"/>
            <wp:docPr id="14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6"/>
                    <pic:cNvPicPr>
                      <a:picLocks noChangeAspect="1"/>
                    </pic:cNvPicPr>
                  </pic:nvPicPr>
                  <pic:blipFill>
                    <a:blip r:embed="rId35"/>
                    <a:stretch>
                      <a:fillRect/>
                    </a:stretch>
                  </pic:blipFill>
                  <pic:spPr>
                    <a:xfrm>
                      <a:off x="0" y="0"/>
                      <a:ext cx="4444365" cy="4395470"/>
                    </a:xfrm>
                    <a:prstGeom prst="rect">
                      <a:avLst/>
                    </a:prstGeom>
                    <a:noFill/>
                    <a:ln>
                      <a:noFill/>
                    </a:ln>
                  </pic:spPr>
                </pic:pic>
              </a:graphicData>
            </a:graphic>
          </wp:inline>
        </w:drawing>
      </w:r>
    </w:p>
    <w:p>
      <w:pPr>
        <w:pStyle w:val="91"/>
        <w:numPr>
          <w:ilvl w:val="8"/>
          <w:numId w:val="9"/>
        </w:numPr>
        <w:bidi w:val="0"/>
        <w:rPr>
          <w:color w:val="auto"/>
        </w:rPr>
      </w:pPr>
      <w:r>
        <w:rPr>
          <w:rFonts w:hint="eastAsia"/>
          <w:color w:val="auto"/>
          <w:lang w:eastAsia="zh-CN"/>
        </w:rPr>
        <w:t>罗洞片区内现状合流系统分布图</w:t>
      </w:r>
    </w:p>
    <w:p>
      <w:pPr>
        <w:bidi w:val="0"/>
        <w:rPr>
          <w:rFonts w:hint="eastAsia"/>
          <w:color w:val="auto"/>
          <w:lang w:val="en-US" w:eastAsia="zh-CN"/>
        </w:rPr>
      </w:pPr>
      <w:r>
        <w:rPr>
          <w:rFonts w:hint="eastAsia"/>
          <w:color w:val="auto"/>
          <w:lang w:val="en-US" w:eastAsia="zh-CN"/>
        </w:rPr>
        <w:t>本工程改造后，片区年实施雨污分流的排水体制，将污水在原合流系统中剔除，原合流系统仅作为雨水排水系统使用，可减小原有系统的排水负荷，使雨水排放更加顺畅。</w:t>
      </w:r>
    </w:p>
    <w:p>
      <w:pPr>
        <w:pStyle w:val="40"/>
        <w:numPr>
          <w:ilvl w:val="2"/>
          <w:numId w:val="9"/>
        </w:numPr>
        <w:bidi w:val="0"/>
        <w:rPr>
          <w:rFonts w:hint="eastAsia" w:ascii="宋体" w:hAnsi="宋体" w:eastAsia="宋体" w:cs="宋体"/>
          <w:color w:val="auto"/>
          <w:kern w:val="2"/>
          <w:sz w:val="28"/>
          <w:szCs w:val="22"/>
          <w:lang w:val="en-US" w:eastAsia="zh-CN" w:bidi="ar-SA"/>
        </w:rPr>
      </w:pPr>
      <w:r>
        <w:rPr>
          <w:rFonts w:hint="eastAsia" w:ascii="宋体" w:hAnsi="宋体" w:eastAsia="宋体" w:cs="宋体"/>
          <w:color w:val="auto"/>
          <w:kern w:val="2"/>
          <w:sz w:val="28"/>
          <w:szCs w:val="22"/>
          <w:lang w:val="en-US" w:eastAsia="zh-CN" w:bidi="ar-SA"/>
        </w:rPr>
        <w:t>排水单元现状</w:t>
      </w:r>
    </w:p>
    <w:p>
      <w:pPr>
        <w:rPr>
          <w:rFonts w:hint="default"/>
          <w:lang w:val="en-US" w:eastAsia="zh-CN"/>
        </w:rPr>
      </w:pPr>
      <w:r>
        <w:rPr>
          <w:rFonts w:hint="eastAsia" w:ascii="宋体" w:hAnsi="宋体" w:eastAsia="宋体" w:cs="宋体"/>
          <w:color w:val="auto"/>
          <w:kern w:val="2"/>
          <w:sz w:val="28"/>
          <w:szCs w:val="22"/>
          <w:lang w:val="en-US" w:eastAsia="zh-CN" w:bidi="ar-SA"/>
        </w:rPr>
        <w:t>Y523片区现状排水单元由政府出资改造的机关事业单位有公路管养站、</w:t>
      </w:r>
      <w:r>
        <w:rPr>
          <w:rFonts w:hint="eastAsia" w:ascii="宋体" w:hAnsi="宋体" w:cs="宋体"/>
          <w:color w:val="auto"/>
          <w:kern w:val="2"/>
          <w:sz w:val="28"/>
          <w:szCs w:val="22"/>
          <w:lang w:val="en-US" w:eastAsia="zh-CN" w:bidi="ar-SA"/>
        </w:rPr>
        <w:t>罗洞</w:t>
      </w:r>
      <w:r>
        <w:rPr>
          <w:rFonts w:hint="eastAsia" w:ascii="宋体" w:hAnsi="宋体" w:eastAsia="宋体" w:cs="宋体"/>
          <w:color w:val="auto"/>
          <w:kern w:val="2"/>
          <w:sz w:val="28"/>
          <w:szCs w:val="22"/>
          <w:lang w:val="en-US" w:eastAsia="zh-CN" w:bidi="ar-SA"/>
        </w:rPr>
        <w:t>小学、从化区福利院、从化区敬老院；排水单元排水现状如下：</w:t>
      </w:r>
    </w:p>
    <w:p>
      <w:pPr>
        <w:pStyle w:val="101"/>
        <w:numPr>
          <w:ilvl w:val="0"/>
          <w:numId w:val="10"/>
        </w:numPr>
        <w:rPr>
          <w:rFonts w:hint="eastAsia"/>
          <w:lang w:val="en-US" w:eastAsia="zh-CN"/>
        </w:rPr>
      </w:pPr>
      <w:r>
        <w:rPr>
          <w:rFonts w:hint="eastAsia"/>
          <w:lang w:val="en-US" w:eastAsia="zh-CN"/>
        </w:rPr>
        <w:t>公路管养站</w:t>
      </w:r>
    </w:p>
    <w:p>
      <w:pPr>
        <w:pStyle w:val="36"/>
        <w:ind w:left="0" w:leftChars="0" w:firstLine="604" w:firstLineChars="200"/>
        <w:rPr>
          <w:rFonts w:hint="eastAsia" w:cs="宋体"/>
          <w:color w:val="auto"/>
          <w:sz w:val="28"/>
          <w:szCs w:val="18"/>
          <w:lang w:val="en-US" w:eastAsia="zh-CN"/>
        </w:rPr>
      </w:pPr>
      <w:r>
        <w:rPr>
          <w:rFonts w:hint="eastAsia" w:cs="宋体"/>
          <w:color w:val="auto"/>
          <w:sz w:val="28"/>
          <w:szCs w:val="18"/>
          <w:lang w:val="en-US" w:eastAsia="zh-CN"/>
        </w:rPr>
        <w:t>公路管养站现状排水体系为雨污合流制，现状场地内只有一条400×500雨水合流渠和DN300合流管，现状污水及雨水通过雨污合流管排入Y523县道上DN600合流主管。</w:t>
      </w:r>
    </w:p>
    <w:p>
      <w:pPr>
        <w:pStyle w:val="36"/>
        <w:ind w:left="0" w:leftChars="0" w:firstLine="604" w:firstLineChars="200"/>
        <w:jc w:val="center"/>
        <w:rPr>
          <w:color w:val="auto"/>
        </w:rPr>
      </w:pPr>
      <w:r>
        <w:drawing>
          <wp:inline distT="0" distB="0" distL="114300" distR="114300">
            <wp:extent cx="3422650" cy="3012440"/>
            <wp:effectExtent l="0" t="0" r="6350" b="16510"/>
            <wp:docPr id="14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
                    <pic:cNvPicPr>
                      <a:picLocks noChangeAspect="1"/>
                    </pic:cNvPicPr>
                  </pic:nvPicPr>
                  <pic:blipFill>
                    <a:blip r:embed="rId36"/>
                    <a:stretch>
                      <a:fillRect/>
                    </a:stretch>
                  </pic:blipFill>
                  <pic:spPr>
                    <a:xfrm>
                      <a:off x="0" y="0"/>
                      <a:ext cx="3422650" cy="3012440"/>
                    </a:xfrm>
                    <a:prstGeom prst="rect">
                      <a:avLst/>
                    </a:prstGeom>
                    <a:noFill/>
                    <a:ln>
                      <a:noFill/>
                    </a:ln>
                  </pic:spPr>
                </pic:pic>
              </a:graphicData>
            </a:graphic>
          </wp:inline>
        </w:drawing>
      </w:r>
    </w:p>
    <w:p>
      <w:pPr>
        <w:pStyle w:val="91"/>
        <w:numPr>
          <w:ilvl w:val="8"/>
          <w:numId w:val="9"/>
        </w:numPr>
        <w:bidi w:val="0"/>
        <w:rPr>
          <w:rFonts w:hint="eastAsia" w:eastAsia="宋体"/>
          <w:color w:val="auto"/>
          <w:lang w:eastAsia="zh-CN"/>
        </w:rPr>
      </w:pPr>
      <w:r>
        <w:rPr>
          <w:rFonts w:hint="eastAsia" w:eastAsia="宋体"/>
          <w:color w:val="auto"/>
          <w:lang w:val="en-US" w:eastAsia="zh-CN"/>
        </w:rPr>
        <w:t>公路管养站排水现状</w:t>
      </w:r>
    </w:p>
    <w:p>
      <w:pPr>
        <w:pStyle w:val="101"/>
        <w:numPr>
          <w:ilvl w:val="0"/>
          <w:numId w:val="10"/>
        </w:numPr>
        <w:rPr>
          <w:rFonts w:hint="eastAsia"/>
          <w:lang w:val="en-US" w:eastAsia="zh-CN"/>
        </w:rPr>
      </w:pPr>
      <w:r>
        <w:rPr>
          <w:rFonts w:hint="eastAsia"/>
          <w:lang w:val="en-US" w:eastAsia="zh-CN"/>
        </w:rPr>
        <w:t>罗洞小学</w:t>
      </w:r>
    </w:p>
    <w:p>
      <w:pPr>
        <w:ind w:firstLine="565"/>
        <w:rPr>
          <w:rFonts w:hint="default"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罗洞小学现状排水体系为雨污合流制，学校内有一条DN200雨水支管接教学楼区域雨水，一条DN400雨水支管接操场内雨水，两条雨水支管最终接入DN800雨水主管后排入附近农田灌溉渠内，学校内无污水管道，化粪池污水直排灌溉渠，污水立管接入DN800雨水管内。</w:t>
      </w:r>
    </w:p>
    <w:p>
      <w:pPr>
        <w:pStyle w:val="36"/>
        <w:numPr>
          <w:ilvl w:val="0"/>
          <w:numId w:val="0"/>
        </w:numPr>
        <w:ind w:leftChars="200"/>
        <w:jc w:val="center"/>
        <w:rPr>
          <w:color w:val="auto"/>
        </w:rPr>
      </w:pPr>
      <w:r>
        <w:drawing>
          <wp:inline distT="0" distB="0" distL="114300" distR="114300">
            <wp:extent cx="3223260" cy="2545080"/>
            <wp:effectExtent l="0" t="0" r="15240" b="7620"/>
            <wp:docPr id="14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5"/>
                    <pic:cNvPicPr>
                      <a:picLocks noChangeAspect="1"/>
                    </pic:cNvPicPr>
                  </pic:nvPicPr>
                  <pic:blipFill>
                    <a:blip r:embed="rId37"/>
                    <a:stretch>
                      <a:fillRect/>
                    </a:stretch>
                  </pic:blipFill>
                  <pic:spPr>
                    <a:xfrm>
                      <a:off x="0" y="0"/>
                      <a:ext cx="3223260" cy="2545080"/>
                    </a:xfrm>
                    <a:prstGeom prst="rect">
                      <a:avLst/>
                    </a:prstGeom>
                    <a:noFill/>
                    <a:ln>
                      <a:noFill/>
                    </a:ln>
                  </pic:spPr>
                </pic:pic>
              </a:graphicData>
            </a:graphic>
          </wp:inline>
        </w:drawing>
      </w:r>
    </w:p>
    <w:p>
      <w:pPr>
        <w:pStyle w:val="91"/>
        <w:numPr>
          <w:ilvl w:val="8"/>
          <w:numId w:val="9"/>
        </w:numPr>
        <w:bidi w:val="0"/>
        <w:rPr>
          <w:rFonts w:hint="eastAsia" w:eastAsia="宋体"/>
          <w:color w:val="auto"/>
          <w:lang w:val="en-US" w:eastAsia="zh-CN"/>
        </w:rPr>
      </w:pPr>
      <w:r>
        <w:rPr>
          <w:rFonts w:hint="eastAsia"/>
          <w:color w:val="auto"/>
          <w:lang w:val="en-US" w:eastAsia="zh-CN"/>
        </w:rPr>
        <w:t>罗洞</w:t>
      </w:r>
      <w:r>
        <w:rPr>
          <w:rFonts w:hint="eastAsia" w:eastAsia="宋体"/>
          <w:color w:val="auto"/>
          <w:lang w:val="en-US" w:eastAsia="zh-CN"/>
        </w:rPr>
        <w:t>小学排水现状</w:t>
      </w:r>
    </w:p>
    <w:p>
      <w:pPr>
        <w:pStyle w:val="101"/>
        <w:numPr>
          <w:ilvl w:val="0"/>
          <w:numId w:val="10"/>
        </w:numPr>
        <w:rPr>
          <w:rFonts w:hint="eastAsia"/>
          <w:lang w:val="en-US" w:eastAsia="zh-CN"/>
        </w:rPr>
      </w:pPr>
      <w:r>
        <w:rPr>
          <w:rFonts w:hint="eastAsia"/>
          <w:lang w:val="en-US" w:eastAsia="zh-CN"/>
        </w:rPr>
        <w:t>从化区福利院</w:t>
      </w:r>
    </w:p>
    <w:p>
      <w:pPr>
        <w:ind w:firstLine="565"/>
        <w:rPr>
          <w:rFonts w:hint="default"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从化区福利院现状排水体系为雨污分流制，现状场地内有3条DN400雨水管排入Y325县道上市政主管内，3条DN400污水管排入东侧农田内。</w:t>
      </w:r>
    </w:p>
    <w:p>
      <w:pPr>
        <w:pStyle w:val="12"/>
        <w:jc w:val="center"/>
        <w:rPr>
          <w:color w:val="auto"/>
        </w:rPr>
      </w:pPr>
      <w:r>
        <w:drawing>
          <wp:inline distT="0" distB="0" distL="114300" distR="114300">
            <wp:extent cx="3286760" cy="2654300"/>
            <wp:effectExtent l="0" t="0" r="8890" b="12700"/>
            <wp:docPr id="14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6"/>
                    <pic:cNvPicPr>
                      <a:picLocks noChangeAspect="1"/>
                    </pic:cNvPicPr>
                  </pic:nvPicPr>
                  <pic:blipFill>
                    <a:blip r:embed="rId38"/>
                    <a:stretch>
                      <a:fillRect/>
                    </a:stretch>
                  </pic:blipFill>
                  <pic:spPr>
                    <a:xfrm>
                      <a:off x="0" y="0"/>
                      <a:ext cx="3286760" cy="2654300"/>
                    </a:xfrm>
                    <a:prstGeom prst="rect">
                      <a:avLst/>
                    </a:prstGeom>
                    <a:noFill/>
                    <a:ln>
                      <a:noFill/>
                    </a:ln>
                  </pic:spPr>
                </pic:pic>
              </a:graphicData>
            </a:graphic>
          </wp:inline>
        </w:drawing>
      </w:r>
    </w:p>
    <w:p>
      <w:pPr>
        <w:pStyle w:val="91"/>
        <w:numPr>
          <w:ilvl w:val="8"/>
          <w:numId w:val="9"/>
        </w:numPr>
        <w:bidi w:val="0"/>
        <w:rPr>
          <w:rFonts w:hint="eastAsia" w:eastAsia="宋体"/>
          <w:color w:val="auto"/>
          <w:lang w:val="en-US" w:eastAsia="zh-CN"/>
        </w:rPr>
      </w:pPr>
      <w:r>
        <w:rPr>
          <w:rFonts w:hint="eastAsia" w:eastAsia="宋体"/>
          <w:color w:val="auto"/>
          <w:lang w:val="en-US" w:eastAsia="zh-CN"/>
        </w:rPr>
        <w:t>从化区福利院排水现状</w:t>
      </w:r>
    </w:p>
    <w:p>
      <w:pPr>
        <w:pStyle w:val="101"/>
        <w:numPr>
          <w:ilvl w:val="0"/>
          <w:numId w:val="10"/>
        </w:numPr>
        <w:rPr>
          <w:rFonts w:hint="eastAsia" w:cs="Times New Roman"/>
          <w:lang w:val="en-US" w:eastAsia="zh-CN"/>
        </w:rPr>
      </w:pPr>
      <w:r>
        <w:rPr>
          <w:rFonts w:hint="eastAsia" w:cs="Times New Roman"/>
          <w:lang w:val="en-US" w:eastAsia="zh-CN"/>
        </w:rPr>
        <w:t>从化区敬老院</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从化区敬老院现状排水体系为雨污合流制，现状场地内只有一条DN400合流管，现状污水及雨水通过雨污合流管排入Y523县道上800X800合流渠。</w:t>
      </w:r>
    </w:p>
    <w:p>
      <w:pPr>
        <w:pStyle w:val="91"/>
        <w:numPr>
          <w:ilvl w:val="8"/>
          <w:numId w:val="0"/>
        </w:numPr>
        <w:bidi w:val="0"/>
        <w:ind w:leftChars="200"/>
        <w:jc w:val="center"/>
        <w:rPr>
          <w:rFonts w:hint="default" w:eastAsia="宋体"/>
          <w:color w:val="auto"/>
          <w:lang w:val="en-US" w:eastAsia="zh-CN"/>
        </w:rPr>
      </w:pPr>
      <w:r>
        <w:drawing>
          <wp:inline distT="0" distB="0" distL="114300" distR="114300">
            <wp:extent cx="3531235" cy="3021330"/>
            <wp:effectExtent l="0" t="0" r="12065" b="7620"/>
            <wp:docPr id="1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
                    <pic:cNvPicPr>
                      <a:picLocks noChangeAspect="1"/>
                    </pic:cNvPicPr>
                  </pic:nvPicPr>
                  <pic:blipFill>
                    <a:blip r:embed="rId39"/>
                    <a:stretch>
                      <a:fillRect/>
                    </a:stretch>
                  </pic:blipFill>
                  <pic:spPr>
                    <a:xfrm>
                      <a:off x="0" y="0"/>
                      <a:ext cx="3531235" cy="3021330"/>
                    </a:xfrm>
                    <a:prstGeom prst="rect">
                      <a:avLst/>
                    </a:prstGeom>
                    <a:noFill/>
                    <a:ln>
                      <a:noFill/>
                    </a:ln>
                  </pic:spPr>
                </pic:pic>
              </a:graphicData>
            </a:graphic>
          </wp:inline>
        </w:drawing>
      </w:r>
    </w:p>
    <w:p>
      <w:pPr>
        <w:pStyle w:val="91"/>
        <w:numPr>
          <w:ilvl w:val="8"/>
          <w:numId w:val="9"/>
        </w:numPr>
        <w:bidi w:val="0"/>
        <w:rPr>
          <w:rFonts w:hint="eastAsia" w:eastAsia="宋体"/>
          <w:color w:val="auto"/>
          <w:lang w:val="en-US" w:eastAsia="zh-CN"/>
        </w:rPr>
      </w:pPr>
      <w:r>
        <w:rPr>
          <w:rFonts w:hint="eastAsia" w:eastAsia="宋体"/>
          <w:color w:val="auto"/>
          <w:lang w:val="en-US" w:eastAsia="zh-CN"/>
        </w:rPr>
        <w:t>从化区</w:t>
      </w:r>
      <w:r>
        <w:rPr>
          <w:rFonts w:hint="eastAsia"/>
          <w:color w:val="auto"/>
          <w:lang w:val="en-US" w:eastAsia="zh-CN"/>
        </w:rPr>
        <w:t>敬老</w:t>
      </w:r>
      <w:r>
        <w:rPr>
          <w:rFonts w:hint="eastAsia" w:eastAsia="宋体"/>
          <w:color w:val="auto"/>
          <w:lang w:val="en-US" w:eastAsia="zh-CN"/>
        </w:rPr>
        <w:t>院排水现状</w:t>
      </w:r>
    </w:p>
    <w:p>
      <w:pPr>
        <w:pStyle w:val="40"/>
        <w:numPr>
          <w:ilvl w:val="2"/>
          <w:numId w:val="9"/>
        </w:numPr>
        <w:rPr>
          <w:rFonts w:hint="eastAsia" w:cs="宋体" w:asciiTheme="minorEastAsia" w:hAnsiTheme="minorEastAsia" w:eastAsiaTheme="minorEastAsia"/>
          <w:color w:val="auto"/>
          <w:sz w:val="28"/>
          <w:szCs w:val="28"/>
          <w:lang w:eastAsia="zh-CN"/>
        </w:rPr>
      </w:pPr>
      <w:r>
        <w:rPr>
          <w:rFonts w:hint="eastAsia" w:cs="宋体" w:asciiTheme="minorEastAsia" w:hAnsiTheme="minorEastAsia" w:eastAsiaTheme="minorEastAsia"/>
          <w:color w:val="auto"/>
          <w:sz w:val="28"/>
          <w:szCs w:val="28"/>
          <w:lang w:eastAsia="zh-CN"/>
        </w:rPr>
        <w:t>系统存在问题及分析</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1</w:t>
      </w:r>
      <w:r>
        <w:rPr>
          <w:rFonts w:hint="eastAsia" w:ascii="宋体" w:hAnsi="宋体" w:cs="宋体"/>
          <w:color w:val="auto"/>
          <w:lang w:val="en-US" w:eastAsia="zh-CN"/>
        </w:rPr>
        <w:t>.</w:t>
      </w:r>
      <w:r>
        <w:rPr>
          <w:rFonts w:hint="eastAsia" w:ascii="宋体" w:hAnsi="宋体" w:eastAsia="宋体" w:cs="宋体"/>
          <w:color w:val="auto"/>
          <w:lang w:val="en-US" w:eastAsia="zh-CN"/>
        </w:rPr>
        <w:t xml:space="preserve">合流体制下，雨水对系统冲击影响大 </w:t>
      </w:r>
    </w:p>
    <w:p>
      <w:pPr>
        <w:bidi w:val="0"/>
        <w:rPr>
          <w:color w:val="auto"/>
        </w:rPr>
      </w:pPr>
      <w:r>
        <w:rPr>
          <w:rFonts w:hint="eastAsia"/>
          <w:color w:val="auto"/>
          <w:lang w:val="en-US" w:eastAsia="zh-CN"/>
        </w:rPr>
        <w:t>从化区中心城区大部分区域未实现雨污两套管网，现状仍为截流式合流制，雨天时雨水通过截流井、截污闸、收水口等设施进入污水管网，大大加重污水厂和管网的运行负担，降低污水厂处理效率。雨季时期污水厂进水浓度低，水量大，污水处理终端处理负荷大。</w:t>
      </w:r>
    </w:p>
    <w:p>
      <w:pPr>
        <w:pStyle w:val="93"/>
        <w:bidi w:val="0"/>
        <w:rPr>
          <w:rFonts w:hint="eastAsia"/>
          <w:color w:val="auto"/>
          <w:lang w:val="en-US" w:eastAsia="zh-CN"/>
        </w:rPr>
      </w:pPr>
      <w:r>
        <w:rPr>
          <w:rFonts w:hint="eastAsia"/>
          <w:color w:val="auto"/>
          <w:lang w:val="en-US" w:eastAsia="zh-CN"/>
        </w:rPr>
        <w:t>2.合流体制下，污水对自然生态环境影响大</w:t>
      </w:r>
    </w:p>
    <w:p>
      <w:pPr>
        <w:pStyle w:val="56"/>
        <w:bidi w:val="0"/>
        <w:rPr>
          <w:rFonts w:hint="eastAsia" w:eastAsia="宋体"/>
          <w:color w:val="auto"/>
          <w:lang w:eastAsia="zh-CN"/>
        </w:rPr>
      </w:pPr>
      <w:r>
        <w:rPr>
          <w:rFonts w:hint="eastAsia"/>
          <w:color w:val="auto"/>
          <w:kern w:val="2"/>
          <w:sz w:val="28"/>
          <w:lang w:val="en-US" w:eastAsia="zh-CN"/>
        </w:rPr>
        <w:t>雨天时污水管道水量大，污水经溢流进入雨水管网，最终流入流溪河，水质污染严重，既丧失了生态功能，又污染了周围环境。</w:t>
      </w:r>
    </w:p>
    <w:p>
      <w:pPr>
        <w:pStyle w:val="93"/>
        <w:bidi w:val="0"/>
        <w:rPr>
          <w:rFonts w:hint="eastAsia"/>
          <w:color w:val="auto"/>
          <w:lang w:val="en-US" w:eastAsia="zh-CN"/>
        </w:rPr>
      </w:pPr>
      <w:r>
        <w:rPr>
          <w:rFonts w:hint="eastAsia"/>
          <w:color w:val="auto"/>
          <w:lang w:val="en-US" w:eastAsia="zh-CN"/>
        </w:rPr>
        <w:t xml:space="preserve">3.污水管网待完善 </w:t>
      </w:r>
    </w:p>
    <w:p>
      <w:pPr>
        <w:bidi w:val="0"/>
        <w:rPr>
          <w:color w:val="auto"/>
        </w:rPr>
      </w:pPr>
      <w:r>
        <w:rPr>
          <w:rFonts w:hint="eastAsia"/>
          <w:color w:val="auto"/>
          <w:lang w:val="en-US" w:eastAsia="zh-CN"/>
        </w:rPr>
        <w:t>根据从化区中心</w:t>
      </w:r>
      <w:r>
        <w:rPr>
          <w:rStyle w:val="94"/>
          <w:rFonts w:hint="eastAsia"/>
          <w:color w:val="auto"/>
          <w:lang w:val="en-US" w:eastAsia="zh-CN"/>
        </w:rPr>
        <w:t>城区</w:t>
      </w:r>
      <w:r>
        <w:rPr>
          <w:rFonts w:hint="eastAsia"/>
          <w:color w:val="auto"/>
          <w:lang w:val="en-US" w:eastAsia="zh-CN"/>
        </w:rPr>
        <w:t>污水现状图资料显示，</w:t>
      </w:r>
      <w:r>
        <w:rPr>
          <w:color w:val="auto"/>
        </w:rPr>
        <w:t>目前</w:t>
      </w:r>
      <w:r>
        <w:rPr>
          <w:rFonts w:hint="eastAsia"/>
          <w:color w:val="auto"/>
          <w:lang w:eastAsia="zh-CN"/>
        </w:rPr>
        <w:t>Y523片区</w:t>
      </w:r>
      <w:r>
        <w:rPr>
          <w:color w:val="auto"/>
        </w:rPr>
        <w:t>内排水建设仍比较薄弱，现状污水系统存在以下问题：</w:t>
      </w:r>
    </w:p>
    <w:p>
      <w:pPr>
        <w:numPr>
          <w:ilvl w:val="0"/>
          <w:numId w:val="11"/>
        </w:numPr>
        <w:ind w:left="-1" w:leftChars="0" w:firstLine="565"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污水管网欠缺，污水管网覆盖率及污水收集率有待进一步提升。</w:t>
      </w:r>
    </w:p>
    <w:p>
      <w:pPr>
        <w:numPr>
          <w:ilvl w:val="0"/>
          <w:numId w:val="11"/>
        </w:numPr>
        <w:ind w:left="-1" w:leftChars="0" w:firstLine="565" w:firstLineChars="0"/>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eastAsia="zh-CN"/>
        </w:rPr>
        <w:t>农村生活污水管网多为合流制，对周边环境及居民生活带来不良影响。</w:t>
      </w:r>
    </w:p>
    <w:p>
      <w:pPr>
        <w:pStyle w:val="12"/>
        <w:numPr>
          <w:ilvl w:val="0"/>
          <w:numId w:val="11"/>
        </w:numPr>
        <w:ind w:left="-1" w:leftChars="0" w:firstLine="564" w:firstLineChars="0"/>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eastAsia="zh-CN"/>
        </w:rPr>
        <w:t>中心城区污水厂进水水质浓度较低，不利于污水厂运行出水。</w:t>
      </w:r>
    </w:p>
    <w:p>
      <w:pPr>
        <w:ind w:firstLine="565"/>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eastAsia="zh-CN"/>
        </w:rPr>
        <w:t>本次雨污分流改造工程可使雨污水各行其道，提高污水覆盖率及污水收集率，有助于该片区生态环境的改善，且可提高污水处理厂进水浓度，对水厂运行起到较好的稳定作用。</w:t>
      </w:r>
    </w:p>
    <w:p>
      <w:pPr>
        <w:pStyle w:val="38"/>
        <w:numPr>
          <w:ilvl w:val="0"/>
          <w:numId w:val="9"/>
        </w:numPr>
        <w:rPr>
          <w:rFonts w:cs="宋体"/>
          <w:color w:val="auto"/>
          <w:sz w:val="32"/>
          <w:szCs w:val="40"/>
        </w:rPr>
      </w:pPr>
      <w:bookmarkStart w:id="26" w:name="_Toc25991"/>
      <w:r>
        <w:rPr>
          <w:rFonts w:hint="eastAsia" w:cs="宋体"/>
          <w:color w:val="auto"/>
          <w:sz w:val="32"/>
          <w:szCs w:val="40"/>
          <w:lang w:eastAsia="zh-CN"/>
        </w:rPr>
        <w:t>上位规划简介</w:t>
      </w:r>
      <w:bookmarkEnd w:id="26"/>
    </w:p>
    <w:p>
      <w:pPr>
        <w:pStyle w:val="39"/>
        <w:numPr>
          <w:ilvl w:val="1"/>
          <w:numId w:val="9"/>
        </w:numPr>
        <w:rPr>
          <w:rFonts w:hint="eastAsia" w:cs="宋体"/>
          <w:color w:val="auto"/>
          <w:sz w:val="28"/>
          <w:szCs w:val="28"/>
          <w:lang w:eastAsia="zh-CN"/>
        </w:rPr>
      </w:pPr>
      <w:bookmarkStart w:id="27" w:name="_Toc24665"/>
      <w:bookmarkStart w:id="28" w:name="_Toc15170"/>
      <w:r>
        <w:rPr>
          <w:rFonts w:hint="eastAsia" w:cs="宋体"/>
          <w:color w:val="auto"/>
          <w:sz w:val="28"/>
          <w:szCs w:val="28"/>
          <w:lang w:eastAsia="zh-CN"/>
        </w:rPr>
        <w:t>《广州市水务发展“十四五”规划》（</w:t>
      </w:r>
      <w:r>
        <w:rPr>
          <w:rFonts w:hint="eastAsia" w:cs="宋体"/>
          <w:color w:val="auto"/>
          <w:sz w:val="28"/>
          <w:szCs w:val="28"/>
          <w:lang w:val="en-US" w:eastAsia="zh-CN"/>
        </w:rPr>
        <w:t>2022年</w:t>
      </w:r>
      <w:r>
        <w:rPr>
          <w:rFonts w:hint="eastAsia" w:cs="宋体"/>
          <w:color w:val="auto"/>
          <w:sz w:val="28"/>
          <w:szCs w:val="28"/>
          <w:lang w:eastAsia="zh-CN"/>
        </w:rPr>
        <w:t>）</w:t>
      </w:r>
      <w:bookmarkEnd w:id="27"/>
    </w:p>
    <w:p>
      <w:pPr>
        <w:bidi w:val="0"/>
        <w:rPr>
          <w:rFonts w:hint="eastAsia" w:eastAsia="宋体" w:cs="宋体"/>
          <w:color w:val="auto"/>
          <w:lang w:eastAsia="zh-CN"/>
        </w:rPr>
      </w:pPr>
      <w:r>
        <w:rPr>
          <w:rFonts w:hint="eastAsia" w:eastAsia="宋体" w:cs="宋体"/>
          <w:color w:val="auto"/>
          <w:lang w:eastAsia="zh-CN"/>
        </w:rPr>
        <w:t>党的十八大以来，党中央着眼于生态文明建设全局，明确了</w:t>
      </w:r>
      <w:r>
        <w:rPr>
          <w:rFonts w:hint="default" w:eastAsia="宋体" w:cs="宋体"/>
          <w:color w:val="auto"/>
          <w:lang w:eastAsia="zh-CN"/>
        </w:rPr>
        <w:t>“</w:t>
      </w:r>
      <w:r>
        <w:rPr>
          <w:rFonts w:hint="eastAsia" w:eastAsia="宋体" w:cs="宋体"/>
          <w:color w:val="auto"/>
          <w:lang w:eastAsia="zh-CN"/>
        </w:rPr>
        <w:t>节水优先、空间均衡、系统治理、两手发力</w:t>
      </w:r>
      <w:r>
        <w:rPr>
          <w:rFonts w:hint="default" w:eastAsia="宋体" w:cs="宋体"/>
          <w:color w:val="auto"/>
          <w:lang w:eastAsia="zh-CN"/>
        </w:rPr>
        <w:t>”</w:t>
      </w:r>
      <w:r>
        <w:rPr>
          <w:rFonts w:hint="eastAsia" w:eastAsia="宋体" w:cs="宋体"/>
          <w:color w:val="auto"/>
          <w:lang w:eastAsia="zh-CN"/>
        </w:rPr>
        <w:t>治水方针，作出了一系列加快水务改革发展的重大决策部署。</w:t>
      </w:r>
      <w:r>
        <w:rPr>
          <w:rFonts w:hint="default" w:eastAsia="宋体" w:cs="宋体"/>
          <w:color w:val="auto"/>
          <w:lang w:eastAsia="zh-CN"/>
        </w:rPr>
        <w:t>“</w:t>
      </w:r>
      <w:r>
        <w:rPr>
          <w:rFonts w:hint="eastAsia" w:eastAsia="宋体" w:cs="宋体"/>
          <w:color w:val="auto"/>
          <w:lang w:eastAsia="zh-CN"/>
        </w:rPr>
        <w:t>十三五</w:t>
      </w:r>
      <w:r>
        <w:rPr>
          <w:rFonts w:hint="default" w:eastAsia="宋体" w:cs="宋体"/>
          <w:color w:val="auto"/>
          <w:lang w:eastAsia="zh-CN"/>
        </w:rPr>
        <w:t>”</w:t>
      </w:r>
      <w:r>
        <w:rPr>
          <w:rFonts w:hint="eastAsia" w:eastAsia="宋体" w:cs="宋体"/>
          <w:color w:val="auto"/>
          <w:lang w:eastAsia="zh-CN"/>
        </w:rPr>
        <w:t>期间，在市委、市政府的坚强领导下，全市水务系统深入贯彻习近平生态文明思想，围绕省委</w:t>
      </w:r>
      <w:r>
        <w:rPr>
          <w:rFonts w:hint="default" w:eastAsia="宋体" w:cs="宋体"/>
          <w:color w:val="auto"/>
          <w:lang w:eastAsia="zh-CN"/>
        </w:rPr>
        <w:t>“1+1+9”</w:t>
      </w:r>
      <w:r>
        <w:rPr>
          <w:rFonts w:hint="eastAsia" w:eastAsia="宋体" w:cs="宋体"/>
          <w:color w:val="auto"/>
          <w:lang w:eastAsia="zh-CN"/>
        </w:rPr>
        <w:t>工作部署和市委</w:t>
      </w:r>
      <w:r>
        <w:rPr>
          <w:rFonts w:hint="default" w:eastAsia="宋体" w:cs="宋体"/>
          <w:color w:val="auto"/>
          <w:lang w:eastAsia="zh-CN"/>
        </w:rPr>
        <w:t>“1+1+4”</w:t>
      </w:r>
      <w:r>
        <w:rPr>
          <w:rFonts w:hint="eastAsia" w:eastAsia="宋体" w:cs="宋体"/>
          <w:color w:val="auto"/>
          <w:lang w:eastAsia="zh-CN"/>
        </w:rPr>
        <w:t>工作举措，在全面推行河湖长制的统领下，水务事业发展取得显著实效，各项任务和目标稳步实现，为我市经济社会可持续发展提供了强有力的支撑和保障。</w:t>
      </w:r>
    </w:p>
    <w:p>
      <w:pPr>
        <w:bidi w:val="0"/>
        <w:rPr>
          <w:rFonts w:hint="eastAsia" w:eastAsia="宋体" w:cs="宋体"/>
          <w:color w:val="auto"/>
          <w:lang w:eastAsia="zh-CN"/>
        </w:rPr>
      </w:pPr>
      <w:r>
        <w:rPr>
          <w:rFonts w:hint="default" w:eastAsia="宋体" w:cs="宋体"/>
          <w:color w:val="auto"/>
          <w:lang w:eastAsia="zh-CN"/>
        </w:rPr>
        <w:t>“</w:t>
      </w:r>
      <w:r>
        <w:rPr>
          <w:rFonts w:hint="eastAsia" w:eastAsia="宋体" w:cs="宋体"/>
          <w:color w:val="auto"/>
          <w:lang w:eastAsia="zh-CN"/>
        </w:rPr>
        <w:t>十四五</w:t>
      </w:r>
      <w:r>
        <w:rPr>
          <w:rFonts w:hint="default" w:eastAsia="宋体" w:cs="宋体"/>
          <w:color w:val="auto"/>
          <w:lang w:eastAsia="zh-CN"/>
        </w:rPr>
        <w:t>”</w:t>
      </w:r>
      <w:r>
        <w:rPr>
          <w:rFonts w:hint="eastAsia" w:eastAsia="宋体" w:cs="宋体"/>
          <w:color w:val="auto"/>
          <w:lang w:eastAsia="zh-CN"/>
        </w:rPr>
        <w:t>时期是我国全面建成小康社会、实现第一个百年奋斗目标，乘势而上开启全面建设社会主义现代化国家新征程、向第二个百年奋斗目标进军的第一个五年；是我市以新发展理念引领高质量发展，着力建设国际大都市，实现老城市新活力和</w:t>
      </w:r>
      <w:r>
        <w:rPr>
          <w:rFonts w:hint="default" w:eastAsia="宋体" w:cs="宋体"/>
          <w:color w:val="auto"/>
          <w:lang w:eastAsia="zh-CN"/>
        </w:rPr>
        <w:t>“</w:t>
      </w:r>
      <w:r>
        <w:rPr>
          <w:rFonts w:hint="eastAsia" w:eastAsia="宋体" w:cs="宋体"/>
          <w:color w:val="auto"/>
          <w:lang w:eastAsia="zh-CN"/>
        </w:rPr>
        <w:t>四个出新出彩</w:t>
      </w:r>
      <w:r>
        <w:rPr>
          <w:rFonts w:hint="default" w:eastAsia="宋体" w:cs="宋体"/>
          <w:color w:val="auto"/>
          <w:lang w:eastAsia="zh-CN"/>
        </w:rPr>
        <w:t>”</w:t>
      </w:r>
      <w:r>
        <w:rPr>
          <w:rFonts w:hint="eastAsia" w:eastAsia="宋体" w:cs="宋体"/>
          <w:color w:val="auto"/>
          <w:lang w:eastAsia="zh-CN"/>
        </w:rPr>
        <w:t>，巩固提升城市发展位势的关键阶段。广州市水务发展</w:t>
      </w:r>
      <w:r>
        <w:rPr>
          <w:rFonts w:hint="default" w:eastAsia="宋体" w:cs="宋体"/>
          <w:color w:val="auto"/>
          <w:lang w:eastAsia="zh-CN"/>
        </w:rPr>
        <w:t>“</w:t>
      </w:r>
      <w:r>
        <w:rPr>
          <w:rFonts w:hint="eastAsia" w:eastAsia="宋体" w:cs="宋体"/>
          <w:color w:val="auto"/>
          <w:lang w:eastAsia="zh-CN"/>
        </w:rPr>
        <w:t>十四五</w:t>
      </w:r>
      <w:r>
        <w:rPr>
          <w:rFonts w:hint="default" w:eastAsia="宋体" w:cs="宋体"/>
          <w:color w:val="auto"/>
          <w:lang w:eastAsia="zh-CN"/>
        </w:rPr>
        <w:t>”</w:t>
      </w:r>
      <w:r>
        <w:rPr>
          <w:rFonts w:hint="eastAsia" w:eastAsia="宋体" w:cs="宋体"/>
          <w:color w:val="auto"/>
          <w:lang w:eastAsia="zh-CN"/>
        </w:rPr>
        <w:t>规划，以习近平新时代中国特色社会主义思想为指导，深入贯彻党的十九大和十九届二中、三中、四中、五中、六中全会精神，聚焦碳达峰、碳中和战略大局，坚定落实省</w:t>
      </w:r>
      <w:r>
        <w:rPr>
          <w:rFonts w:hint="default" w:eastAsia="宋体" w:cs="宋体"/>
          <w:color w:val="auto"/>
          <w:lang w:eastAsia="zh-CN"/>
        </w:rPr>
        <w:t>“851”</w:t>
      </w:r>
      <w:r>
        <w:rPr>
          <w:rFonts w:hint="eastAsia" w:eastAsia="宋体" w:cs="宋体"/>
          <w:color w:val="auto"/>
          <w:lang w:eastAsia="zh-CN"/>
        </w:rPr>
        <w:t>水利高质量发展蓝图，依据《广州市国民经济和社会发展第十四个五年规划和</w:t>
      </w:r>
      <w:r>
        <w:rPr>
          <w:rFonts w:hint="default" w:eastAsia="宋体" w:cs="宋体"/>
          <w:color w:val="auto"/>
          <w:lang w:eastAsia="zh-CN"/>
        </w:rPr>
        <w:t xml:space="preserve">2035 </w:t>
      </w:r>
      <w:r>
        <w:rPr>
          <w:rFonts w:hint="eastAsia" w:eastAsia="宋体" w:cs="宋体"/>
          <w:color w:val="auto"/>
          <w:lang w:eastAsia="zh-CN"/>
        </w:rPr>
        <w:t>年远景目标纲要》等纲领性文件，总结我市水务</w:t>
      </w:r>
      <w:r>
        <w:rPr>
          <w:rFonts w:hint="default" w:eastAsia="宋体" w:cs="宋体"/>
          <w:color w:val="auto"/>
          <w:lang w:eastAsia="zh-CN"/>
        </w:rPr>
        <w:t>“</w:t>
      </w:r>
      <w:r>
        <w:rPr>
          <w:rFonts w:hint="eastAsia" w:eastAsia="宋体" w:cs="宋体"/>
          <w:color w:val="auto"/>
          <w:lang w:eastAsia="zh-CN"/>
        </w:rPr>
        <w:t>十三五</w:t>
      </w:r>
      <w:r>
        <w:rPr>
          <w:rFonts w:hint="default" w:eastAsia="宋体" w:cs="宋体"/>
          <w:color w:val="auto"/>
          <w:lang w:eastAsia="zh-CN"/>
        </w:rPr>
        <w:t>”</w:t>
      </w:r>
      <w:r>
        <w:rPr>
          <w:rFonts w:hint="eastAsia" w:eastAsia="宋体" w:cs="宋体"/>
          <w:color w:val="auto"/>
          <w:lang w:eastAsia="zh-CN"/>
        </w:rPr>
        <w:t>发展基础，深入分析</w:t>
      </w:r>
      <w:r>
        <w:rPr>
          <w:rFonts w:hint="default" w:eastAsia="宋体" w:cs="宋体"/>
          <w:color w:val="auto"/>
          <w:lang w:eastAsia="zh-CN"/>
        </w:rPr>
        <w:t>“</w:t>
      </w:r>
      <w:r>
        <w:rPr>
          <w:rFonts w:hint="eastAsia" w:eastAsia="宋体" w:cs="宋体"/>
          <w:color w:val="auto"/>
          <w:lang w:eastAsia="zh-CN"/>
        </w:rPr>
        <w:t>十四五</w:t>
      </w:r>
      <w:r>
        <w:rPr>
          <w:rFonts w:hint="default" w:eastAsia="宋体" w:cs="宋体"/>
          <w:color w:val="auto"/>
          <w:lang w:eastAsia="zh-CN"/>
        </w:rPr>
        <w:t>”</w:t>
      </w:r>
      <w:r>
        <w:rPr>
          <w:rFonts w:hint="eastAsia" w:eastAsia="宋体" w:cs="宋体"/>
          <w:color w:val="auto"/>
          <w:lang w:eastAsia="zh-CN"/>
        </w:rPr>
        <w:t>面临形势，重点明确</w:t>
      </w:r>
      <w:r>
        <w:rPr>
          <w:rFonts w:hint="default" w:eastAsia="宋体" w:cs="宋体"/>
          <w:color w:val="auto"/>
          <w:lang w:eastAsia="zh-CN"/>
        </w:rPr>
        <w:t>“</w:t>
      </w:r>
      <w:r>
        <w:rPr>
          <w:rFonts w:hint="eastAsia" w:eastAsia="宋体" w:cs="宋体"/>
          <w:color w:val="auto"/>
          <w:lang w:eastAsia="zh-CN"/>
        </w:rPr>
        <w:t>十四五</w:t>
      </w:r>
      <w:r>
        <w:rPr>
          <w:rFonts w:hint="default" w:eastAsia="宋体" w:cs="宋体"/>
          <w:color w:val="auto"/>
          <w:lang w:eastAsia="zh-CN"/>
        </w:rPr>
        <w:t>”</w:t>
      </w:r>
      <w:r>
        <w:rPr>
          <w:rFonts w:hint="eastAsia" w:eastAsia="宋体" w:cs="宋体"/>
          <w:color w:val="auto"/>
          <w:lang w:eastAsia="zh-CN"/>
        </w:rPr>
        <w:t>时期我市水务发展的指导思想、基本原则、主要目标、重大任务，并展望</w:t>
      </w:r>
      <w:r>
        <w:rPr>
          <w:rFonts w:hint="default" w:eastAsia="宋体" w:cs="宋体"/>
          <w:color w:val="auto"/>
          <w:lang w:eastAsia="zh-CN"/>
        </w:rPr>
        <w:t xml:space="preserve">2035 </w:t>
      </w:r>
      <w:r>
        <w:rPr>
          <w:rFonts w:hint="eastAsia" w:eastAsia="宋体" w:cs="宋体"/>
          <w:color w:val="auto"/>
          <w:lang w:eastAsia="zh-CN"/>
        </w:rPr>
        <w:t>年远景目标，是政府履行水务管理职能的重要依据，是我市水务高质量发展的行动路线。</w:t>
      </w:r>
    </w:p>
    <w:p>
      <w:pPr>
        <w:pStyle w:val="40"/>
        <w:numPr>
          <w:ilvl w:val="2"/>
          <w:numId w:val="9"/>
        </w:numPr>
        <w:bidi w:val="0"/>
        <w:ind w:left="0" w:leftChars="0" w:firstLine="0" w:firstLineChars="0"/>
        <w:rPr>
          <w:rFonts w:hint="eastAsia"/>
          <w:color w:val="auto"/>
          <w:lang w:eastAsia="zh-CN"/>
        </w:rPr>
      </w:pPr>
      <w:r>
        <w:rPr>
          <w:rFonts w:hint="eastAsia"/>
          <w:color w:val="auto"/>
          <w:lang w:eastAsia="zh-CN"/>
        </w:rPr>
        <w:t>规划指导思想</w:t>
      </w:r>
    </w:p>
    <w:p>
      <w:pPr>
        <w:bidi w:val="0"/>
        <w:rPr>
          <w:rFonts w:hint="eastAsia" w:eastAsia="宋体" w:cs="宋体"/>
          <w:color w:val="auto"/>
          <w:lang w:eastAsia="zh-CN"/>
        </w:rPr>
      </w:pPr>
      <w:r>
        <w:rPr>
          <w:rFonts w:hint="eastAsia" w:eastAsia="宋体" w:cs="宋体"/>
          <w:color w:val="auto"/>
          <w:lang w:eastAsia="zh-CN"/>
        </w:rPr>
        <w:t>坚持以习近平新时代中国特色社会主义思想为指导，深入学习贯彻党的十九大和十九届二中、三中、四中、五中、六中全会精神，深刻认识高质量发展是全面建设社会主义现代化国家的必经之路，积极践行习近平总书记</w:t>
      </w:r>
      <w:r>
        <w:rPr>
          <w:rFonts w:hint="default" w:eastAsia="宋体" w:cs="宋体"/>
          <w:color w:val="auto"/>
          <w:lang w:eastAsia="zh-CN"/>
        </w:rPr>
        <w:t>“</w:t>
      </w:r>
      <w:r>
        <w:rPr>
          <w:rFonts w:hint="eastAsia" w:eastAsia="宋体" w:cs="宋体"/>
          <w:color w:val="auto"/>
          <w:lang w:eastAsia="zh-CN"/>
        </w:rPr>
        <w:t>宜居、绿色、韧性、智慧、人文</w:t>
      </w:r>
      <w:r>
        <w:rPr>
          <w:rFonts w:hint="default" w:eastAsia="宋体" w:cs="宋体"/>
          <w:color w:val="auto"/>
          <w:lang w:eastAsia="zh-CN"/>
        </w:rPr>
        <w:t>”</w:t>
      </w:r>
      <w:r>
        <w:rPr>
          <w:rFonts w:hint="eastAsia" w:eastAsia="宋体" w:cs="宋体"/>
          <w:color w:val="auto"/>
          <w:lang w:eastAsia="zh-CN"/>
        </w:rPr>
        <w:t>的城市建设理念和</w:t>
      </w:r>
      <w:r>
        <w:rPr>
          <w:rFonts w:hint="default" w:eastAsia="宋体" w:cs="宋体"/>
          <w:color w:val="auto"/>
          <w:lang w:eastAsia="zh-CN"/>
        </w:rPr>
        <w:t>“</w:t>
      </w:r>
      <w:r>
        <w:rPr>
          <w:rFonts w:hint="eastAsia" w:eastAsia="宋体" w:cs="宋体"/>
          <w:color w:val="auto"/>
          <w:lang w:eastAsia="zh-CN"/>
        </w:rPr>
        <w:t>产业兴旺、生态宜居、乡风文明、治理有效、生活富裕</w:t>
      </w:r>
      <w:r>
        <w:rPr>
          <w:rFonts w:hint="default" w:eastAsia="宋体" w:cs="宋体"/>
          <w:color w:val="auto"/>
          <w:lang w:eastAsia="zh-CN"/>
        </w:rPr>
        <w:t>”</w:t>
      </w:r>
      <w:r>
        <w:rPr>
          <w:rFonts w:hint="eastAsia" w:eastAsia="宋体" w:cs="宋体"/>
          <w:color w:val="auto"/>
          <w:lang w:eastAsia="zh-CN"/>
        </w:rPr>
        <w:t>的乡村振兴战略，服务碳达峰、碳中和战略大局，落实省</w:t>
      </w:r>
      <w:r>
        <w:rPr>
          <w:rFonts w:hint="default" w:eastAsia="宋体" w:cs="宋体"/>
          <w:color w:val="auto"/>
          <w:lang w:eastAsia="zh-CN"/>
        </w:rPr>
        <w:t>“851”</w:t>
      </w:r>
      <w:r>
        <w:rPr>
          <w:rFonts w:hint="eastAsia" w:eastAsia="宋体" w:cs="宋体"/>
          <w:color w:val="auto"/>
          <w:lang w:eastAsia="zh-CN"/>
        </w:rPr>
        <w:t>水利高质量发展蓝图，以系统化全域推进海绵城市建设示范城市、国家节水型城市、住建部</w:t>
      </w:r>
      <w:r>
        <w:rPr>
          <w:rFonts w:hint="default" w:eastAsia="宋体" w:cs="宋体"/>
          <w:color w:val="auto"/>
          <w:lang w:eastAsia="zh-CN"/>
        </w:rPr>
        <w:t>“</w:t>
      </w:r>
      <w:r>
        <w:rPr>
          <w:rFonts w:hint="eastAsia" w:eastAsia="宋体" w:cs="宋体"/>
          <w:color w:val="auto"/>
          <w:lang w:eastAsia="zh-CN"/>
        </w:rPr>
        <w:t>新城建</w:t>
      </w:r>
      <w:r>
        <w:rPr>
          <w:rFonts w:hint="default" w:eastAsia="宋体" w:cs="宋体"/>
          <w:color w:val="auto"/>
          <w:lang w:eastAsia="zh-CN"/>
        </w:rPr>
        <w:t>”</w:t>
      </w:r>
      <w:r>
        <w:rPr>
          <w:rFonts w:hint="eastAsia" w:eastAsia="宋体" w:cs="宋体"/>
          <w:color w:val="auto"/>
          <w:lang w:eastAsia="zh-CN"/>
        </w:rPr>
        <w:t>智能排水试点城市为抓手，聚焦</w:t>
      </w:r>
      <w:r>
        <w:rPr>
          <w:rFonts w:hint="default" w:eastAsia="宋体" w:cs="宋体"/>
          <w:color w:val="auto"/>
          <w:lang w:eastAsia="zh-CN"/>
        </w:rPr>
        <w:t>“</w:t>
      </w:r>
      <w:r>
        <w:rPr>
          <w:rFonts w:hint="eastAsia" w:eastAsia="宋体" w:cs="宋体"/>
          <w:color w:val="auto"/>
          <w:lang w:eastAsia="zh-CN"/>
        </w:rPr>
        <w:t>枢纽之城、实力之城、创新之城、机遇之城、智慧之城、品质之城</w:t>
      </w:r>
      <w:r>
        <w:rPr>
          <w:rFonts w:hint="default" w:eastAsia="宋体" w:cs="宋体"/>
          <w:color w:val="auto"/>
          <w:lang w:eastAsia="zh-CN"/>
        </w:rPr>
        <w:t>”</w:t>
      </w:r>
      <w:r>
        <w:rPr>
          <w:rFonts w:hint="eastAsia" w:eastAsia="宋体" w:cs="宋体"/>
          <w:color w:val="auto"/>
          <w:lang w:eastAsia="zh-CN"/>
        </w:rPr>
        <w:t>的发展定位，以满足人民日益增长的美好生活需要为根本目的，系统构建持久水安全、优质水资源、宜居水环境、健康水生态、先进水文化、绿色水经济体系，建设造福人民的幸福河湖，打造水务产城融合宜居典范，以水务高质量发展，为我市建设国际大都市，奋力实现老城市新活力、</w:t>
      </w:r>
      <w:r>
        <w:rPr>
          <w:rFonts w:hint="default" w:eastAsia="宋体" w:cs="宋体"/>
          <w:color w:val="auto"/>
          <w:lang w:eastAsia="zh-CN"/>
        </w:rPr>
        <w:t>“</w:t>
      </w:r>
      <w:r>
        <w:rPr>
          <w:rFonts w:hint="eastAsia" w:eastAsia="宋体" w:cs="宋体"/>
          <w:color w:val="auto"/>
          <w:lang w:eastAsia="zh-CN"/>
        </w:rPr>
        <w:t>四个出新出彩</w:t>
      </w:r>
      <w:r>
        <w:rPr>
          <w:rFonts w:hint="default" w:eastAsia="宋体" w:cs="宋体"/>
          <w:color w:val="auto"/>
          <w:lang w:eastAsia="zh-CN"/>
        </w:rPr>
        <w:t>”</w:t>
      </w:r>
      <w:r>
        <w:rPr>
          <w:rFonts w:hint="eastAsia" w:eastAsia="宋体" w:cs="宋体"/>
          <w:color w:val="auto"/>
          <w:lang w:eastAsia="zh-CN"/>
        </w:rPr>
        <w:t>提供坚实的水务支撑和保障。</w:t>
      </w:r>
    </w:p>
    <w:p>
      <w:pPr>
        <w:pStyle w:val="40"/>
        <w:numPr>
          <w:ilvl w:val="2"/>
          <w:numId w:val="9"/>
        </w:numPr>
        <w:bidi w:val="0"/>
        <w:ind w:left="0" w:leftChars="0" w:firstLine="0" w:firstLineChars="0"/>
        <w:rPr>
          <w:rFonts w:hint="eastAsia"/>
          <w:color w:val="auto"/>
          <w:lang w:eastAsia="zh-CN"/>
        </w:rPr>
      </w:pPr>
      <w:r>
        <w:rPr>
          <w:rFonts w:hint="eastAsia"/>
          <w:color w:val="auto"/>
          <w:lang w:eastAsia="zh-CN"/>
        </w:rPr>
        <w:t>“规划发展目标</w:t>
      </w:r>
    </w:p>
    <w:p>
      <w:pPr>
        <w:bidi w:val="0"/>
        <w:rPr>
          <w:rFonts w:hint="eastAsia" w:eastAsia="宋体" w:cs="宋体"/>
          <w:color w:val="auto"/>
          <w:lang w:eastAsia="zh-CN"/>
        </w:rPr>
      </w:pPr>
      <w:r>
        <w:rPr>
          <w:rFonts w:hint="eastAsia" w:eastAsia="宋体" w:cs="宋体"/>
          <w:color w:val="auto"/>
          <w:lang w:eastAsia="zh-CN"/>
        </w:rPr>
        <w:t>到</w:t>
      </w:r>
      <w:r>
        <w:rPr>
          <w:rFonts w:hint="default" w:eastAsia="宋体" w:cs="宋体"/>
          <w:color w:val="auto"/>
          <w:lang w:eastAsia="zh-CN"/>
        </w:rPr>
        <w:t xml:space="preserve">2035 </w:t>
      </w:r>
      <w:r>
        <w:rPr>
          <w:rFonts w:hint="eastAsia" w:eastAsia="宋体" w:cs="宋体"/>
          <w:color w:val="auto"/>
          <w:lang w:eastAsia="zh-CN"/>
        </w:rPr>
        <w:t>年，广州市将实现水治理体系和治理能力现代化，城市水系统韧性显著增强，建成与社会主义现代化远景目标相适应的水安全、水资源、水生态、水环境保障体系，</w:t>
      </w:r>
      <w:r>
        <w:rPr>
          <w:rFonts w:hint="default" w:eastAsia="宋体" w:cs="宋体"/>
          <w:color w:val="auto"/>
          <w:lang w:eastAsia="zh-CN"/>
        </w:rPr>
        <w:t>“</w:t>
      </w:r>
      <w:r>
        <w:rPr>
          <w:rFonts w:hint="eastAsia" w:eastAsia="宋体" w:cs="宋体"/>
          <w:color w:val="auto"/>
          <w:lang w:eastAsia="zh-CN"/>
        </w:rPr>
        <w:t>江河安澜、乐水羊城</w:t>
      </w:r>
      <w:r>
        <w:rPr>
          <w:rFonts w:hint="default" w:eastAsia="宋体" w:cs="宋体"/>
          <w:color w:val="auto"/>
          <w:lang w:eastAsia="zh-CN"/>
        </w:rPr>
        <w:t>”</w:t>
      </w:r>
      <w:r>
        <w:rPr>
          <w:rFonts w:hint="eastAsia" w:eastAsia="宋体" w:cs="宋体"/>
          <w:color w:val="auto"/>
          <w:lang w:eastAsia="zh-CN"/>
        </w:rPr>
        <w:t>的愿景基本实现。</w:t>
      </w:r>
    </w:p>
    <w:p>
      <w:pPr>
        <w:bidi w:val="0"/>
        <w:rPr>
          <w:rFonts w:hint="eastAsia" w:eastAsia="宋体" w:cs="宋体"/>
          <w:color w:val="auto"/>
          <w:lang w:eastAsia="zh-CN"/>
        </w:rPr>
      </w:pPr>
      <w:r>
        <w:rPr>
          <w:rFonts w:hint="eastAsia" w:eastAsia="宋体" w:cs="宋体"/>
          <w:color w:val="auto"/>
          <w:lang w:eastAsia="zh-CN"/>
        </w:rPr>
        <w:t>到</w:t>
      </w:r>
      <w:r>
        <w:rPr>
          <w:rFonts w:hint="default" w:eastAsia="宋体" w:cs="宋体"/>
          <w:color w:val="auto"/>
          <w:lang w:eastAsia="zh-CN"/>
        </w:rPr>
        <w:t xml:space="preserve">2025 </w:t>
      </w:r>
      <w:r>
        <w:rPr>
          <w:rFonts w:hint="eastAsia" w:eastAsia="宋体" w:cs="宋体"/>
          <w:color w:val="auto"/>
          <w:lang w:eastAsia="zh-CN"/>
        </w:rPr>
        <w:t>年，经济社会发展中以水定城、以水定地、以水定人、以水定产的约束更刚性，城市规划建设中海绵城市理念的贯彻更深入。水资源配置持续优化，</w:t>
      </w:r>
      <w:r>
        <w:rPr>
          <w:rFonts w:hint="default" w:eastAsia="宋体" w:cs="宋体"/>
          <w:color w:val="auto"/>
          <w:lang w:eastAsia="zh-CN"/>
        </w:rPr>
        <w:t>“</w:t>
      </w:r>
      <w:r>
        <w:rPr>
          <w:rFonts w:hint="eastAsia" w:eastAsia="宋体" w:cs="宋体"/>
          <w:color w:val="auto"/>
          <w:lang w:eastAsia="zh-CN"/>
        </w:rPr>
        <w:t>四源共济</w:t>
      </w:r>
      <w:r>
        <w:rPr>
          <w:rFonts w:hint="default" w:eastAsia="宋体" w:cs="宋体"/>
          <w:color w:val="auto"/>
          <w:lang w:eastAsia="zh-CN"/>
        </w:rPr>
        <w:t>”</w:t>
      </w:r>
      <w:r>
        <w:rPr>
          <w:rFonts w:hint="eastAsia" w:eastAsia="宋体" w:cs="宋体"/>
          <w:color w:val="auto"/>
          <w:lang w:eastAsia="zh-CN"/>
        </w:rPr>
        <w:t>水源格局更加稳定韧性，城乡供水安全优质；水安全保障能力全面提升，防洪排涝体系更加完善，历史上严重影响生产生活秩序的易涝积水点全面消除，新城区不出现</w:t>
      </w:r>
      <w:r>
        <w:rPr>
          <w:rFonts w:hint="default" w:eastAsia="宋体" w:cs="宋体"/>
          <w:color w:val="auto"/>
          <w:lang w:eastAsia="zh-CN"/>
        </w:rPr>
        <w:t>“</w:t>
      </w:r>
      <w:r>
        <w:rPr>
          <w:rFonts w:hint="eastAsia" w:eastAsia="宋体" w:cs="宋体"/>
          <w:color w:val="auto"/>
          <w:lang w:eastAsia="zh-CN"/>
        </w:rPr>
        <w:t>城市看海</w:t>
      </w:r>
      <w:r>
        <w:rPr>
          <w:rFonts w:hint="default" w:eastAsia="宋体" w:cs="宋体"/>
          <w:color w:val="auto"/>
          <w:lang w:eastAsia="zh-CN"/>
        </w:rPr>
        <w:t>”</w:t>
      </w:r>
      <w:r>
        <w:rPr>
          <w:rFonts w:hint="eastAsia" w:eastAsia="宋体" w:cs="宋体"/>
          <w:color w:val="auto"/>
          <w:lang w:eastAsia="zh-CN"/>
        </w:rPr>
        <w:t>现象，超标准降雨条件下城市运行基本安全；城市水环境实现根本性好转，</w:t>
      </w:r>
      <w:r>
        <w:rPr>
          <w:rFonts w:hint="default" w:eastAsia="宋体" w:cs="宋体"/>
          <w:color w:val="auto"/>
          <w:lang w:eastAsia="zh-CN"/>
        </w:rPr>
        <w:t>“</w:t>
      </w:r>
      <w:r>
        <w:rPr>
          <w:rFonts w:hint="eastAsia" w:eastAsia="宋体" w:cs="宋体"/>
          <w:color w:val="auto"/>
          <w:lang w:eastAsia="zh-CN"/>
        </w:rPr>
        <w:t>污涝同治</w:t>
      </w:r>
      <w:r>
        <w:rPr>
          <w:rFonts w:hint="default" w:eastAsia="宋体" w:cs="宋体"/>
          <w:color w:val="auto"/>
          <w:lang w:eastAsia="zh-CN"/>
        </w:rPr>
        <w:t>”</w:t>
      </w:r>
      <w:r>
        <w:rPr>
          <w:rFonts w:hint="eastAsia" w:eastAsia="宋体" w:cs="宋体"/>
          <w:color w:val="auto"/>
          <w:lang w:eastAsia="zh-CN"/>
        </w:rPr>
        <w:t>取得明显成效；城乡水务一体化、服务均等化程度不断深化；生态碧道骨干网络基本形成，河湖水系更加健康美丽；智慧水务管理模式成果升级转型；水资源刚性约束制度执行有力，水资源集约节约利用效率和效益明显提高；水务现代化治理能力大幅提升、现代化治理体系不断优化。具体目标如下：</w:t>
      </w:r>
    </w:p>
    <w:p>
      <w:pPr>
        <w:bidi w:val="0"/>
        <w:rPr>
          <w:rFonts w:hint="eastAsia" w:eastAsia="宋体" w:cs="宋体"/>
          <w:color w:val="auto"/>
          <w:lang w:eastAsia="zh-CN"/>
        </w:rPr>
      </w:pPr>
      <w:r>
        <w:rPr>
          <w:rFonts w:hint="eastAsia" w:eastAsia="宋体" w:cs="宋体"/>
          <w:color w:val="auto"/>
          <w:lang w:eastAsia="zh-CN"/>
        </w:rPr>
        <w:t>水资源配置和供水保障更有力。骨干输水网络进一步完善，全市水资源配置格局持续优化，城市供水厂网布局进一步优化，实现供水品质和服务双提升，市域设计总供水能力达</w:t>
      </w:r>
      <w:r>
        <w:rPr>
          <w:rFonts w:hint="default" w:eastAsia="宋体" w:cs="宋体"/>
          <w:color w:val="auto"/>
          <w:lang w:eastAsia="zh-CN"/>
        </w:rPr>
        <w:t xml:space="preserve">955 </w:t>
      </w:r>
      <w:r>
        <w:rPr>
          <w:rFonts w:hint="eastAsia" w:eastAsia="宋体" w:cs="宋体"/>
          <w:color w:val="auto"/>
          <w:lang w:eastAsia="zh-CN"/>
        </w:rPr>
        <w:t>万吨</w:t>
      </w:r>
      <w:r>
        <w:rPr>
          <w:rFonts w:hint="default" w:eastAsia="宋体" w:cs="宋体"/>
          <w:color w:val="auto"/>
          <w:lang w:eastAsia="zh-CN"/>
        </w:rPr>
        <w:t>/</w:t>
      </w:r>
      <w:r>
        <w:rPr>
          <w:rFonts w:hint="eastAsia" w:eastAsia="宋体" w:cs="宋体"/>
          <w:color w:val="auto"/>
          <w:lang w:eastAsia="zh-CN"/>
        </w:rPr>
        <w:t>日。</w:t>
      </w:r>
    </w:p>
    <w:p>
      <w:pPr>
        <w:bidi w:val="0"/>
        <w:rPr>
          <w:rFonts w:hint="eastAsia" w:eastAsia="宋体" w:cs="宋体"/>
          <w:color w:val="auto"/>
          <w:lang w:eastAsia="zh-CN"/>
        </w:rPr>
      </w:pPr>
      <w:r>
        <w:rPr>
          <w:rFonts w:hint="eastAsia" w:eastAsia="宋体" w:cs="宋体"/>
          <w:color w:val="auto"/>
          <w:lang w:eastAsia="zh-CN"/>
        </w:rPr>
        <w:t>防洪（潮）排涝体系更完善。主要江、河堤防达标率提高至</w:t>
      </w:r>
      <w:r>
        <w:rPr>
          <w:rFonts w:hint="default" w:eastAsia="宋体" w:cs="宋体"/>
          <w:color w:val="auto"/>
          <w:lang w:eastAsia="zh-CN"/>
        </w:rPr>
        <w:t>90%</w:t>
      </w:r>
      <w:r>
        <w:rPr>
          <w:rFonts w:hint="eastAsia" w:eastAsia="宋体" w:cs="宋体"/>
          <w:color w:val="auto"/>
          <w:lang w:eastAsia="zh-CN"/>
        </w:rPr>
        <w:t>，江河安澜的防洪（潮）安全网进一步织牢织密，洪涝灾害防御水平明显提升；城市基本实现小雨不积水、大雨不内涝，特大暴雨城市运转基本正常，可妥善处置超标准降雨引发的城市洪涝灾害。</w:t>
      </w:r>
    </w:p>
    <w:p>
      <w:pPr>
        <w:bidi w:val="0"/>
        <w:rPr>
          <w:rFonts w:hint="eastAsia" w:eastAsia="宋体" w:cs="宋体"/>
          <w:color w:val="auto"/>
          <w:lang w:eastAsia="zh-CN"/>
        </w:rPr>
      </w:pPr>
      <w:r>
        <w:rPr>
          <w:rFonts w:hint="eastAsia" w:eastAsia="宋体" w:cs="宋体"/>
          <w:color w:val="auto"/>
          <w:lang w:eastAsia="zh-CN"/>
        </w:rPr>
        <w:t>污水治理效能更显著。深化</w:t>
      </w:r>
      <w:r>
        <w:rPr>
          <w:rFonts w:hint="default" w:eastAsia="宋体" w:cs="宋体"/>
          <w:color w:val="auto"/>
          <w:lang w:eastAsia="zh-CN"/>
        </w:rPr>
        <w:t>“</w:t>
      </w:r>
      <w:r>
        <w:rPr>
          <w:rFonts w:hint="eastAsia" w:eastAsia="宋体" w:cs="宋体"/>
          <w:color w:val="auto"/>
          <w:lang w:eastAsia="zh-CN"/>
        </w:rPr>
        <w:t>污涝同治</w:t>
      </w:r>
      <w:r>
        <w:rPr>
          <w:rFonts w:hint="default" w:eastAsia="宋体" w:cs="宋体"/>
          <w:color w:val="auto"/>
          <w:lang w:eastAsia="zh-CN"/>
        </w:rPr>
        <w:t>”</w:t>
      </w:r>
      <w:r>
        <w:rPr>
          <w:rFonts w:hint="eastAsia" w:eastAsia="宋体" w:cs="宋体"/>
          <w:color w:val="auto"/>
          <w:lang w:eastAsia="zh-CN"/>
        </w:rPr>
        <w:t>，持续深入源头治理。完成</w:t>
      </w:r>
      <w:r>
        <w:rPr>
          <w:rFonts w:hint="default" w:eastAsia="宋体" w:cs="宋体"/>
          <w:color w:val="auto"/>
          <w:lang w:eastAsia="zh-CN"/>
        </w:rPr>
        <w:t>90%</w:t>
      </w:r>
      <w:r>
        <w:rPr>
          <w:rFonts w:hint="eastAsia" w:eastAsia="宋体" w:cs="宋体"/>
          <w:color w:val="auto"/>
          <w:lang w:eastAsia="zh-CN"/>
        </w:rPr>
        <w:t>排水单元达标建设，城市生活污水集中收集率达到</w:t>
      </w:r>
      <w:r>
        <w:rPr>
          <w:rFonts w:hint="default" w:eastAsia="宋体" w:cs="宋体"/>
          <w:color w:val="auto"/>
          <w:lang w:eastAsia="zh-CN"/>
        </w:rPr>
        <w:t>85%</w:t>
      </w:r>
      <w:r>
        <w:rPr>
          <w:rFonts w:hint="eastAsia" w:eastAsia="宋体" w:cs="宋体"/>
          <w:color w:val="auto"/>
          <w:lang w:eastAsia="zh-CN"/>
        </w:rPr>
        <w:t>以上并稳定提升，污水处理厂进水生化需氧量浓度达到</w:t>
      </w:r>
      <w:r>
        <w:rPr>
          <w:rFonts w:hint="default" w:eastAsia="宋体" w:cs="宋体"/>
          <w:color w:val="auto"/>
          <w:lang w:eastAsia="zh-CN"/>
        </w:rPr>
        <w:t>110</w:t>
      </w:r>
      <w:r>
        <w:rPr>
          <w:rFonts w:hint="eastAsia" w:eastAsia="宋体" w:cs="宋体"/>
          <w:color w:val="auto"/>
          <w:lang w:eastAsia="zh-CN"/>
        </w:rPr>
        <w:t>毫克</w:t>
      </w:r>
      <w:r>
        <w:rPr>
          <w:rFonts w:hint="default" w:eastAsia="宋体" w:cs="宋体"/>
          <w:color w:val="auto"/>
          <w:lang w:eastAsia="zh-CN"/>
        </w:rPr>
        <w:t>/</w:t>
      </w:r>
      <w:r>
        <w:rPr>
          <w:rFonts w:hint="eastAsia" w:eastAsia="宋体" w:cs="宋体"/>
          <w:color w:val="auto"/>
          <w:lang w:eastAsia="zh-CN"/>
        </w:rPr>
        <w:t>升。</w:t>
      </w:r>
    </w:p>
    <w:p>
      <w:pPr>
        <w:bidi w:val="0"/>
        <w:rPr>
          <w:rFonts w:hint="eastAsia" w:eastAsia="宋体" w:cs="宋体"/>
          <w:color w:val="auto"/>
          <w:lang w:eastAsia="zh-CN"/>
        </w:rPr>
      </w:pPr>
      <w:r>
        <w:rPr>
          <w:rFonts w:hint="eastAsia" w:eastAsia="宋体" w:cs="宋体"/>
          <w:color w:val="auto"/>
          <w:lang w:eastAsia="zh-CN"/>
        </w:rPr>
        <w:t>农村水务基础设施更完备。农村生活污水治理实现</w:t>
      </w:r>
      <w:r>
        <w:rPr>
          <w:rFonts w:hint="default" w:eastAsia="宋体" w:cs="宋体"/>
          <w:color w:val="auto"/>
          <w:lang w:eastAsia="zh-CN"/>
        </w:rPr>
        <w:t>“</w:t>
      </w:r>
      <w:r>
        <w:rPr>
          <w:rFonts w:hint="eastAsia" w:eastAsia="宋体" w:cs="宋体"/>
          <w:color w:val="auto"/>
          <w:lang w:eastAsia="zh-CN"/>
        </w:rPr>
        <w:t>设施良好，收水高效，出水达标</w:t>
      </w:r>
      <w:r>
        <w:rPr>
          <w:rFonts w:hint="default" w:eastAsia="宋体" w:cs="宋体"/>
          <w:color w:val="auto"/>
          <w:lang w:eastAsia="zh-CN"/>
        </w:rPr>
        <w:t>”</w:t>
      </w:r>
      <w:r>
        <w:rPr>
          <w:rFonts w:hint="eastAsia" w:eastAsia="宋体" w:cs="宋体"/>
          <w:color w:val="auto"/>
          <w:lang w:eastAsia="zh-CN"/>
        </w:rPr>
        <w:t>；自然村集中供水水量稳定，水质达标，农村供水保障能力进一步提升；打造农村水系连通试点示范县（区），持续推进生态清洁小流域建设，农村人居水环境持续改善，水务基础设施支撑乡村振兴战略保障能力大幅提升。</w:t>
      </w:r>
    </w:p>
    <w:p>
      <w:pPr>
        <w:bidi w:val="0"/>
        <w:rPr>
          <w:rFonts w:hint="eastAsia" w:eastAsia="宋体" w:cs="宋体"/>
          <w:color w:val="auto"/>
          <w:lang w:eastAsia="zh-CN"/>
        </w:rPr>
      </w:pPr>
      <w:r>
        <w:rPr>
          <w:rFonts w:hint="eastAsia" w:eastAsia="宋体" w:cs="宋体"/>
          <w:color w:val="auto"/>
          <w:lang w:eastAsia="zh-CN"/>
        </w:rPr>
        <w:t>生态碧道更美丽。建成生态碧道网</w:t>
      </w:r>
      <w:r>
        <w:rPr>
          <w:rFonts w:hint="default" w:eastAsia="宋体" w:cs="宋体"/>
          <w:color w:val="auto"/>
          <w:lang w:eastAsia="zh-CN"/>
        </w:rPr>
        <w:t xml:space="preserve">1500 </w:t>
      </w:r>
      <w:r>
        <w:rPr>
          <w:rFonts w:hint="eastAsia" w:eastAsia="宋体" w:cs="宋体"/>
          <w:color w:val="auto"/>
          <w:lang w:eastAsia="zh-CN"/>
        </w:rPr>
        <w:t>公里以上，绘就</w:t>
      </w:r>
      <w:r>
        <w:rPr>
          <w:rFonts w:hint="default" w:eastAsia="宋体" w:cs="宋体"/>
          <w:color w:val="auto"/>
          <w:lang w:eastAsia="zh-CN"/>
        </w:rPr>
        <w:t>“</w:t>
      </w:r>
      <w:r>
        <w:rPr>
          <w:rFonts w:hint="eastAsia" w:eastAsia="宋体" w:cs="宋体"/>
          <w:color w:val="auto"/>
          <w:lang w:eastAsia="zh-CN"/>
        </w:rPr>
        <w:t>千里长卷，最美广州</w:t>
      </w:r>
      <w:r>
        <w:rPr>
          <w:rFonts w:hint="default" w:eastAsia="宋体" w:cs="宋体"/>
          <w:color w:val="auto"/>
          <w:lang w:eastAsia="zh-CN"/>
        </w:rPr>
        <w:t>”</w:t>
      </w:r>
      <w:r>
        <w:rPr>
          <w:rFonts w:hint="eastAsia" w:eastAsia="宋体" w:cs="宋体"/>
          <w:color w:val="auto"/>
          <w:lang w:eastAsia="zh-CN"/>
        </w:rPr>
        <w:t>碧道画卷，打响</w:t>
      </w:r>
      <w:r>
        <w:rPr>
          <w:rFonts w:hint="default" w:eastAsia="宋体" w:cs="宋体"/>
          <w:color w:val="auto"/>
          <w:lang w:eastAsia="zh-CN"/>
        </w:rPr>
        <w:t>“</w:t>
      </w:r>
      <w:r>
        <w:rPr>
          <w:rFonts w:hint="eastAsia" w:eastAsia="宋体" w:cs="宋体"/>
          <w:color w:val="auto"/>
          <w:lang w:eastAsia="zh-CN"/>
        </w:rPr>
        <w:t>广州幸福河湖</w:t>
      </w:r>
      <w:r>
        <w:rPr>
          <w:rFonts w:hint="default" w:eastAsia="宋体" w:cs="宋体"/>
          <w:color w:val="auto"/>
          <w:lang w:eastAsia="zh-CN"/>
        </w:rPr>
        <w:t>”</w:t>
      </w:r>
      <w:r>
        <w:rPr>
          <w:rFonts w:hint="eastAsia" w:eastAsia="宋体" w:cs="宋体"/>
          <w:color w:val="auto"/>
          <w:lang w:eastAsia="zh-CN"/>
        </w:rPr>
        <w:t>品牌，水文化公共产品和服务进一步丰富，水生态文明建设深入人心。水务管理模式更智慧。</w:t>
      </w:r>
      <w:r>
        <w:rPr>
          <w:rFonts w:hint="default" w:eastAsia="宋体" w:cs="宋体"/>
          <w:color w:val="auto"/>
          <w:lang w:eastAsia="zh-CN"/>
        </w:rPr>
        <w:t>“</w:t>
      </w:r>
      <w:r>
        <w:rPr>
          <w:rFonts w:hint="eastAsia" w:eastAsia="宋体" w:cs="宋体"/>
          <w:color w:val="auto"/>
          <w:lang w:eastAsia="zh-CN"/>
        </w:rPr>
        <w:t>四横三纵</w:t>
      </w:r>
      <w:r>
        <w:rPr>
          <w:rFonts w:hint="default" w:eastAsia="宋体" w:cs="宋体"/>
          <w:color w:val="auto"/>
          <w:lang w:eastAsia="zh-CN"/>
        </w:rPr>
        <w:t>”</w:t>
      </w:r>
      <w:r>
        <w:rPr>
          <w:rFonts w:hint="eastAsia" w:eastAsia="宋体" w:cs="宋体"/>
          <w:color w:val="auto"/>
          <w:lang w:eastAsia="zh-CN"/>
        </w:rPr>
        <w:t>智慧水务顶层架构基本搭建，水务管理实现</w:t>
      </w:r>
      <w:r>
        <w:rPr>
          <w:rFonts w:hint="default" w:eastAsia="宋体" w:cs="宋体"/>
          <w:color w:val="auto"/>
          <w:lang w:eastAsia="zh-CN"/>
        </w:rPr>
        <w:t>“</w:t>
      </w:r>
      <w:r>
        <w:rPr>
          <w:rFonts w:hint="eastAsia" w:eastAsia="宋体" w:cs="宋体"/>
          <w:color w:val="auto"/>
          <w:lang w:eastAsia="zh-CN"/>
        </w:rPr>
        <w:t>智慧水务</w:t>
      </w:r>
      <w:r>
        <w:rPr>
          <w:rFonts w:hint="default" w:eastAsia="宋体" w:cs="宋体"/>
          <w:color w:val="auto"/>
          <w:lang w:eastAsia="zh-CN"/>
        </w:rPr>
        <w:t>”</w:t>
      </w:r>
      <w:r>
        <w:rPr>
          <w:rFonts w:hint="eastAsia" w:eastAsia="宋体" w:cs="宋体"/>
          <w:color w:val="auto"/>
          <w:lang w:eastAsia="zh-CN"/>
        </w:rPr>
        <w:t>升级转型，排水智能化建设走在全国前列。</w:t>
      </w:r>
    </w:p>
    <w:p>
      <w:pPr>
        <w:bidi w:val="0"/>
        <w:rPr>
          <w:rFonts w:hint="eastAsia" w:eastAsia="宋体" w:cs="宋体"/>
          <w:color w:val="auto"/>
          <w:lang w:eastAsia="zh-CN"/>
        </w:rPr>
      </w:pPr>
      <w:r>
        <w:rPr>
          <w:rFonts w:hint="eastAsia" w:eastAsia="宋体" w:cs="宋体"/>
          <w:color w:val="auto"/>
          <w:lang w:eastAsia="zh-CN"/>
        </w:rPr>
        <w:t>深度节水控水约束更刚性。全市年用水总量控制在</w:t>
      </w:r>
      <w:r>
        <w:rPr>
          <w:rFonts w:hint="default" w:eastAsia="宋体" w:cs="宋体"/>
          <w:color w:val="auto"/>
          <w:lang w:eastAsia="zh-CN"/>
        </w:rPr>
        <w:t xml:space="preserve">48.65 </w:t>
      </w:r>
      <w:r>
        <w:rPr>
          <w:rFonts w:hint="eastAsia" w:eastAsia="宋体" w:cs="宋体"/>
          <w:color w:val="auto"/>
          <w:lang w:eastAsia="zh-CN"/>
        </w:rPr>
        <w:t>亿立方米以内，万元</w:t>
      </w:r>
      <w:r>
        <w:rPr>
          <w:rFonts w:hint="default" w:eastAsia="宋体" w:cs="宋体"/>
          <w:color w:val="auto"/>
          <w:lang w:eastAsia="zh-CN"/>
        </w:rPr>
        <w:t xml:space="preserve">GDP </w:t>
      </w:r>
      <w:r>
        <w:rPr>
          <w:rFonts w:hint="eastAsia" w:eastAsia="宋体" w:cs="宋体"/>
          <w:color w:val="auto"/>
          <w:lang w:eastAsia="zh-CN"/>
        </w:rPr>
        <w:t>用水量、万元工业增加值用水量、城市公共供水管网漏损率均达到省考核要求。进一步优化产业结构，淘汰低端落后产能，大力推进工业企业、园区节水改造；推进灌区续建配套和节水改造，推广高效节水灌溉技术；加强城镇供水管网漏损控制，实现供水单元精细化管理，推进再生水广泛高效利用</w:t>
      </w:r>
      <w:r>
        <w:rPr>
          <w:rFonts w:hint="default" w:eastAsia="宋体" w:cs="宋体"/>
          <w:color w:val="auto"/>
          <w:lang w:eastAsia="zh-CN"/>
        </w:rPr>
        <w:t>,</w:t>
      </w:r>
      <w:r>
        <w:rPr>
          <w:rFonts w:hint="eastAsia" w:eastAsia="宋体" w:cs="宋体"/>
          <w:color w:val="auto"/>
          <w:lang w:eastAsia="zh-CN"/>
        </w:rPr>
        <w:t>再生水利用率达到</w:t>
      </w:r>
      <w:r>
        <w:rPr>
          <w:rFonts w:hint="default" w:eastAsia="宋体" w:cs="宋体"/>
          <w:color w:val="auto"/>
          <w:lang w:eastAsia="zh-CN"/>
        </w:rPr>
        <w:t>30%</w:t>
      </w:r>
      <w:r>
        <w:rPr>
          <w:rFonts w:hint="eastAsia" w:eastAsia="宋体" w:cs="宋体"/>
          <w:color w:val="auto"/>
          <w:lang w:eastAsia="zh-CN"/>
        </w:rPr>
        <w:t>以上。</w:t>
      </w:r>
    </w:p>
    <w:p>
      <w:pPr>
        <w:bidi w:val="0"/>
        <w:rPr>
          <w:rFonts w:hint="eastAsia" w:eastAsia="宋体" w:cs="宋体"/>
          <w:color w:val="auto"/>
          <w:lang w:eastAsia="zh-CN"/>
        </w:rPr>
      </w:pPr>
      <w:r>
        <w:rPr>
          <w:rFonts w:hint="eastAsia" w:eastAsia="宋体" w:cs="宋体"/>
          <w:color w:val="auto"/>
          <w:lang w:eastAsia="zh-CN"/>
        </w:rPr>
        <w:t>水务现代化治理体系更完善。河湖长制改革不断深化，流域统筹管理机制运行顺畅，依法治水管水体制更加健全、行政体系更加完善，不断通过高科技手段创新水务监管局面。</w:t>
      </w:r>
    </w:p>
    <w:p>
      <w:pPr>
        <w:pStyle w:val="40"/>
        <w:numPr>
          <w:ilvl w:val="2"/>
          <w:numId w:val="9"/>
        </w:numPr>
        <w:bidi w:val="0"/>
        <w:ind w:left="0" w:leftChars="0" w:firstLine="0" w:firstLineChars="0"/>
        <w:rPr>
          <w:rFonts w:hint="eastAsia"/>
          <w:color w:val="auto"/>
          <w:lang w:eastAsia="zh-CN"/>
        </w:rPr>
      </w:pPr>
      <w:r>
        <w:rPr>
          <w:rFonts w:hint="eastAsia"/>
          <w:color w:val="auto"/>
          <w:lang w:eastAsia="zh-CN"/>
        </w:rPr>
        <w:t>规划发展任务</w:t>
      </w:r>
    </w:p>
    <w:p>
      <w:pPr>
        <w:rPr>
          <w:rFonts w:hint="eastAsia"/>
          <w:color w:val="auto"/>
          <w:lang w:eastAsia="zh-CN"/>
        </w:rPr>
      </w:pPr>
      <w:r>
        <w:rPr>
          <w:rFonts w:hint="eastAsia"/>
          <w:color w:val="auto"/>
          <w:lang w:eastAsia="zh-CN"/>
        </w:rPr>
        <w:t>根据规划发展目标，水务发展“十四五”规划提出了八项主要任务，分别为：</w:t>
      </w:r>
    </w:p>
    <w:p>
      <w:pPr>
        <w:bidi w:val="0"/>
        <w:rPr>
          <w:rFonts w:hint="default" w:eastAsia="宋体" w:cs="宋体"/>
          <w:color w:val="auto"/>
          <w:lang w:eastAsia="zh-CN"/>
        </w:rPr>
      </w:pPr>
      <w:r>
        <w:rPr>
          <w:rFonts w:hint="eastAsia" w:eastAsia="宋体" w:cs="宋体"/>
          <w:color w:val="auto"/>
          <w:lang w:eastAsia="zh-CN"/>
        </w:rPr>
        <w:t xml:space="preserve">一、优化四源共济、六网联动、安全优质的供水保障网 </w:t>
      </w:r>
    </w:p>
    <w:p>
      <w:pPr>
        <w:bidi w:val="0"/>
        <w:rPr>
          <w:rFonts w:hint="default" w:eastAsia="宋体" w:cs="宋体"/>
          <w:color w:val="auto"/>
          <w:lang w:eastAsia="zh-CN"/>
        </w:rPr>
      </w:pPr>
      <w:r>
        <w:rPr>
          <w:rFonts w:hint="eastAsia" w:eastAsia="宋体" w:cs="宋体"/>
          <w:color w:val="auto"/>
          <w:lang w:eastAsia="zh-CN"/>
        </w:rPr>
        <w:t xml:space="preserve">二、完善千涌通百川、三江护安澜的洪涝安全网 </w:t>
      </w:r>
    </w:p>
    <w:p>
      <w:pPr>
        <w:bidi w:val="0"/>
        <w:rPr>
          <w:rFonts w:hint="default" w:eastAsia="宋体" w:cs="宋体"/>
          <w:color w:val="auto"/>
          <w:lang w:eastAsia="zh-CN"/>
        </w:rPr>
      </w:pPr>
      <w:r>
        <w:rPr>
          <w:rFonts w:hint="eastAsia" w:eastAsia="宋体" w:cs="宋体"/>
          <w:color w:val="auto"/>
          <w:lang w:eastAsia="zh-CN"/>
        </w:rPr>
        <w:t>三、巩固单元达标、厂网一体、安全高效污水治理网</w:t>
      </w:r>
    </w:p>
    <w:p>
      <w:pPr>
        <w:bidi w:val="0"/>
        <w:rPr>
          <w:rFonts w:hint="default" w:eastAsia="宋体" w:cs="宋体"/>
          <w:color w:val="auto"/>
          <w:lang w:eastAsia="zh-CN"/>
        </w:rPr>
      </w:pPr>
      <w:r>
        <w:rPr>
          <w:rFonts w:hint="eastAsia" w:eastAsia="宋体" w:cs="宋体"/>
          <w:color w:val="auto"/>
          <w:lang w:eastAsia="zh-CN"/>
        </w:rPr>
        <w:t xml:space="preserve">四、提升优水入万户、碧水绕村流的水美乡村网 </w:t>
      </w:r>
    </w:p>
    <w:p>
      <w:pPr>
        <w:bidi w:val="0"/>
        <w:rPr>
          <w:rFonts w:hint="default" w:eastAsia="宋体" w:cs="宋体"/>
          <w:color w:val="auto"/>
          <w:lang w:eastAsia="zh-CN"/>
        </w:rPr>
      </w:pPr>
      <w:r>
        <w:rPr>
          <w:rFonts w:hint="eastAsia" w:eastAsia="宋体" w:cs="宋体"/>
          <w:color w:val="auto"/>
          <w:lang w:eastAsia="zh-CN"/>
        </w:rPr>
        <w:t xml:space="preserve">五、升级健康和谐、水清岸绿的生态碧道网 </w:t>
      </w:r>
    </w:p>
    <w:p>
      <w:pPr>
        <w:bidi w:val="0"/>
        <w:rPr>
          <w:rFonts w:hint="default" w:eastAsia="宋体" w:cs="宋体"/>
          <w:color w:val="auto"/>
          <w:lang w:eastAsia="zh-CN"/>
        </w:rPr>
      </w:pPr>
      <w:r>
        <w:rPr>
          <w:rFonts w:hint="eastAsia" w:eastAsia="宋体" w:cs="宋体"/>
          <w:color w:val="auto"/>
          <w:lang w:eastAsia="zh-CN"/>
        </w:rPr>
        <w:t xml:space="preserve">六、构建一网统管、协同高效的智慧水务网 </w:t>
      </w:r>
    </w:p>
    <w:p>
      <w:pPr>
        <w:bidi w:val="0"/>
        <w:rPr>
          <w:rFonts w:hint="default" w:eastAsia="宋体" w:cs="宋体"/>
          <w:color w:val="auto"/>
          <w:lang w:eastAsia="zh-CN"/>
        </w:rPr>
      </w:pPr>
      <w:r>
        <w:rPr>
          <w:rFonts w:hint="eastAsia" w:eastAsia="宋体" w:cs="宋体"/>
          <w:color w:val="auto"/>
          <w:lang w:eastAsia="zh-CN"/>
        </w:rPr>
        <w:t>七、全面提高水资源集约节约利用能力</w:t>
      </w:r>
    </w:p>
    <w:p>
      <w:pPr>
        <w:bidi w:val="0"/>
        <w:rPr>
          <w:rFonts w:hint="eastAsia" w:eastAsia="宋体" w:cs="宋体"/>
          <w:color w:val="auto"/>
          <w:lang w:eastAsia="zh-CN"/>
        </w:rPr>
      </w:pPr>
      <w:r>
        <w:rPr>
          <w:rFonts w:hint="eastAsia" w:eastAsia="宋体" w:cs="宋体"/>
          <w:color w:val="auto"/>
          <w:lang w:eastAsia="zh-CN"/>
        </w:rPr>
        <w:t>八、全面提高水务现代化治理能力</w:t>
      </w:r>
    </w:p>
    <w:p>
      <w:pPr>
        <w:bidi w:val="0"/>
        <w:rPr>
          <w:rFonts w:hint="eastAsia" w:eastAsia="宋体" w:cs="宋体"/>
          <w:b/>
          <w:bCs/>
          <w:color w:val="auto"/>
          <w:lang w:eastAsia="zh-CN"/>
        </w:rPr>
      </w:pPr>
      <w:r>
        <w:rPr>
          <w:rFonts w:hint="eastAsia" w:eastAsia="宋体" w:cs="宋体"/>
          <w:b/>
          <w:bCs/>
          <w:color w:val="auto"/>
          <w:lang w:eastAsia="zh-CN"/>
        </w:rPr>
        <w:t>其中，第三项主要任务“巩固单元达标、厂网一体、安全高效污水治理网”的内容，与本项目的建设密切相关。其主要内容为：</w:t>
      </w:r>
    </w:p>
    <w:p>
      <w:pPr>
        <w:bidi w:val="0"/>
        <w:rPr>
          <w:rFonts w:hint="eastAsia" w:eastAsia="宋体" w:cs="宋体"/>
          <w:color w:val="auto"/>
          <w:lang w:eastAsia="zh-CN"/>
        </w:rPr>
      </w:pPr>
      <w:r>
        <w:rPr>
          <w:rFonts w:hint="eastAsia" w:eastAsia="宋体" w:cs="宋体"/>
          <w:color w:val="auto"/>
          <w:lang w:eastAsia="zh-CN"/>
        </w:rPr>
        <w:t>聚焦碳达峰、碳中和的国家发展战略，加快推进污水处理与污泥处置低碳转型、提质增效，强化源头减污、源头截污、源头雨污分流的治理思路，打造用户全接管、管网全覆盖、处理全达标的污水治理网络，着力实现污水治理</w:t>
      </w:r>
      <w:r>
        <w:rPr>
          <w:rFonts w:hint="default" w:eastAsia="宋体" w:cs="宋体"/>
          <w:color w:val="auto"/>
          <w:lang w:eastAsia="zh-CN"/>
        </w:rPr>
        <w:t>“</w:t>
      </w:r>
      <w:r>
        <w:rPr>
          <w:rFonts w:hint="eastAsia" w:eastAsia="宋体" w:cs="宋体"/>
          <w:color w:val="auto"/>
          <w:lang w:eastAsia="zh-CN"/>
        </w:rPr>
        <w:t>两转变、两提升</w:t>
      </w:r>
      <w:r>
        <w:rPr>
          <w:rFonts w:hint="default" w:eastAsia="宋体" w:cs="宋体"/>
          <w:color w:val="auto"/>
          <w:lang w:eastAsia="zh-CN"/>
        </w:rPr>
        <w:t>”</w:t>
      </w:r>
      <w:r>
        <w:rPr>
          <w:rFonts w:hint="eastAsia" w:eastAsia="宋体" w:cs="宋体"/>
          <w:color w:val="auto"/>
          <w:lang w:eastAsia="zh-CN"/>
        </w:rPr>
        <w:t>不断推动我市水环境</w:t>
      </w:r>
      <w:r>
        <w:rPr>
          <w:rFonts w:hint="default" w:eastAsia="宋体" w:cs="宋体"/>
          <w:color w:val="auto"/>
          <w:lang w:eastAsia="zh-CN"/>
        </w:rPr>
        <w:t>“</w:t>
      </w:r>
      <w:r>
        <w:rPr>
          <w:rFonts w:hint="eastAsia" w:eastAsia="宋体" w:cs="宋体"/>
          <w:color w:val="auto"/>
          <w:lang w:eastAsia="zh-CN"/>
        </w:rPr>
        <w:t>长制久清</w:t>
      </w:r>
      <w:r>
        <w:rPr>
          <w:rFonts w:hint="default" w:eastAsia="宋体" w:cs="宋体"/>
          <w:color w:val="auto"/>
          <w:lang w:eastAsia="zh-CN"/>
        </w:rPr>
        <w:t>”</w:t>
      </w:r>
      <w:r>
        <w:rPr>
          <w:rFonts w:hint="eastAsia" w:eastAsia="宋体" w:cs="宋体"/>
          <w:color w:val="auto"/>
          <w:lang w:eastAsia="zh-CN"/>
        </w:rPr>
        <w:t>。</w:t>
      </w:r>
    </w:p>
    <w:p>
      <w:pPr>
        <w:bidi w:val="0"/>
        <w:rPr>
          <w:rFonts w:hint="eastAsia" w:eastAsia="宋体" w:cs="宋体"/>
          <w:color w:val="auto"/>
          <w:lang w:eastAsia="zh-CN"/>
        </w:rPr>
      </w:pPr>
      <w:r>
        <w:rPr>
          <w:rFonts w:hint="eastAsia" w:eastAsia="宋体" w:cs="宋体"/>
          <w:color w:val="auto"/>
          <w:lang w:eastAsia="zh-CN"/>
        </w:rPr>
        <w:t>（一）持续源头治污攻坚</w:t>
      </w:r>
    </w:p>
    <w:p>
      <w:pPr>
        <w:bidi w:val="0"/>
        <w:rPr>
          <w:rFonts w:hint="eastAsia" w:eastAsia="宋体" w:cs="宋体"/>
          <w:color w:val="auto"/>
          <w:lang w:eastAsia="zh-CN"/>
        </w:rPr>
      </w:pPr>
      <w:r>
        <w:rPr>
          <w:rFonts w:hint="eastAsia" w:eastAsia="宋体" w:cs="宋体"/>
          <w:color w:val="auto"/>
          <w:lang w:eastAsia="zh-CN"/>
        </w:rPr>
        <w:t>坚持推进排水单元达标建设。贯彻市第</w:t>
      </w:r>
      <w:r>
        <w:rPr>
          <w:rFonts w:hint="default" w:eastAsia="宋体" w:cs="宋体"/>
          <w:color w:val="auto"/>
          <w:lang w:eastAsia="zh-CN"/>
        </w:rPr>
        <w:t xml:space="preserve">4 </w:t>
      </w:r>
      <w:r>
        <w:rPr>
          <w:rFonts w:hint="eastAsia" w:eastAsia="宋体" w:cs="宋体"/>
          <w:color w:val="auto"/>
          <w:lang w:eastAsia="zh-CN"/>
        </w:rPr>
        <w:t>号总河长令部署，继续推进实施《广州市全面攻坚排水单元达标工作方案》，按照雨污分流原则，组织各类排水单元按时保质完成雨污分流达标，明确内部排水设施的产权、管理权，落实好养护人、监管人，推进红线内的排水设施养护逐步专业化、规范化。至</w:t>
      </w:r>
      <w:r>
        <w:rPr>
          <w:rFonts w:hint="default" w:eastAsia="宋体" w:cs="宋体"/>
          <w:color w:val="auto"/>
          <w:lang w:eastAsia="zh-CN"/>
        </w:rPr>
        <w:t xml:space="preserve">2025 </w:t>
      </w:r>
      <w:r>
        <w:rPr>
          <w:rFonts w:hint="eastAsia" w:eastAsia="宋体" w:cs="宋体"/>
          <w:color w:val="auto"/>
          <w:lang w:eastAsia="zh-CN"/>
        </w:rPr>
        <w:t>年，全市排水单元达标建设比例达</w:t>
      </w:r>
      <w:r>
        <w:rPr>
          <w:rFonts w:hint="default" w:eastAsia="宋体" w:cs="宋体"/>
          <w:color w:val="auto"/>
          <w:lang w:eastAsia="zh-CN"/>
        </w:rPr>
        <w:t>90%</w:t>
      </w:r>
      <w:r>
        <w:rPr>
          <w:rFonts w:hint="eastAsia" w:eastAsia="宋体" w:cs="宋体"/>
          <w:color w:val="auto"/>
          <w:lang w:eastAsia="zh-CN"/>
        </w:rPr>
        <w:t>以上。</w:t>
      </w:r>
    </w:p>
    <w:p>
      <w:pPr>
        <w:bidi w:val="0"/>
        <w:rPr>
          <w:rFonts w:hint="eastAsia" w:eastAsia="宋体" w:cs="宋体"/>
          <w:color w:val="auto"/>
          <w:lang w:eastAsia="zh-CN"/>
        </w:rPr>
      </w:pPr>
      <w:r>
        <w:rPr>
          <w:rFonts w:hint="eastAsia" w:eastAsia="宋体" w:cs="宋体"/>
          <w:color w:val="auto"/>
          <w:lang w:eastAsia="zh-CN"/>
        </w:rPr>
        <w:t>坚持推进合流渠箱清污分流。贯彻《广州市总河长令》（第</w:t>
      </w:r>
      <w:r>
        <w:rPr>
          <w:rFonts w:hint="default" w:eastAsia="宋体" w:cs="宋体"/>
          <w:color w:val="auto"/>
          <w:lang w:eastAsia="zh-CN"/>
        </w:rPr>
        <w:t xml:space="preserve">9 </w:t>
      </w:r>
      <w:r>
        <w:rPr>
          <w:rFonts w:hint="eastAsia" w:eastAsia="宋体" w:cs="宋体"/>
          <w:color w:val="auto"/>
          <w:lang w:eastAsia="zh-CN"/>
        </w:rPr>
        <w:t>号）部署，按照污涝同治理念，全面推进合流渠箱清污分流改造工作，实现</w:t>
      </w:r>
      <w:r>
        <w:rPr>
          <w:rFonts w:hint="default" w:eastAsia="宋体" w:cs="宋体"/>
          <w:color w:val="auto"/>
          <w:lang w:eastAsia="zh-CN"/>
        </w:rPr>
        <w:t>“</w:t>
      </w:r>
      <w:r>
        <w:rPr>
          <w:rFonts w:hint="eastAsia" w:eastAsia="宋体" w:cs="宋体"/>
          <w:color w:val="auto"/>
          <w:lang w:eastAsia="zh-CN"/>
        </w:rPr>
        <w:t>污水入网、清水入河</w:t>
      </w:r>
      <w:r>
        <w:rPr>
          <w:rFonts w:hint="default" w:eastAsia="宋体" w:cs="宋体"/>
          <w:color w:val="auto"/>
          <w:lang w:eastAsia="zh-CN"/>
        </w:rPr>
        <w:t>”</w:t>
      </w:r>
      <w:r>
        <w:rPr>
          <w:rFonts w:hint="eastAsia" w:eastAsia="宋体" w:cs="宋体"/>
          <w:color w:val="auto"/>
          <w:lang w:eastAsia="zh-CN"/>
        </w:rPr>
        <w:t>，有效解决污水收集系统</w:t>
      </w:r>
      <w:r>
        <w:rPr>
          <w:rFonts w:hint="default" w:eastAsia="宋体" w:cs="宋体"/>
          <w:color w:val="auto"/>
          <w:lang w:eastAsia="zh-CN"/>
        </w:rPr>
        <w:t>“</w:t>
      </w:r>
      <w:r>
        <w:rPr>
          <w:rFonts w:hint="eastAsia" w:eastAsia="宋体" w:cs="宋体"/>
          <w:color w:val="auto"/>
          <w:lang w:eastAsia="zh-CN"/>
        </w:rPr>
        <w:t>最后一公里</w:t>
      </w:r>
      <w:r>
        <w:rPr>
          <w:rFonts w:hint="default" w:eastAsia="宋体" w:cs="宋体"/>
          <w:color w:val="auto"/>
          <w:lang w:eastAsia="zh-CN"/>
        </w:rPr>
        <w:t>”</w:t>
      </w:r>
      <w:r>
        <w:rPr>
          <w:rFonts w:hint="eastAsia" w:eastAsia="宋体" w:cs="宋体"/>
          <w:color w:val="auto"/>
          <w:lang w:eastAsia="zh-CN"/>
        </w:rPr>
        <w:t>问题，疏通河道水脉，提升城市品质。到</w:t>
      </w:r>
      <w:r>
        <w:rPr>
          <w:rFonts w:hint="default" w:eastAsia="宋体" w:cs="宋体"/>
          <w:color w:val="auto"/>
          <w:lang w:eastAsia="zh-CN"/>
        </w:rPr>
        <w:t xml:space="preserve">2025 </w:t>
      </w:r>
      <w:r>
        <w:rPr>
          <w:rFonts w:hint="eastAsia" w:eastAsia="宋体" w:cs="宋体"/>
          <w:color w:val="auto"/>
          <w:lang w:eastAsia="zh-CN"/>
        </w:rPr>
        <w:t>年，全市</w:t>
      </w:r>
      <w:r>
        <w:rPr>
          <w:rFonts w:hint="default" w:eastAsia="宋体" w:cs="宋体"/>
          <w:color w:val="auto"/>
          <w:lang w:eastAsia="zh-CN"/>
        </w:rPr>
        <w:t xml:space="preserve">443 </w:t>
      </w:r>
      <w:r>
        <w:rPr>
          <w:rFonts w:hint="eastAsia" w:eastAsia="宋体" w:cs="宋体"/>
          <w:color w:val="auto"/>
          <w:lang w:eastAsia="zh-CN"/>
        </w:rPr>
        <w:t>条合流渠箱基本实现常态化开闸。</w:t>
      </w:r>
    </w:p>
    <w:p>
      <w:pPr>
        <w:bidi w:val="0"/>
        <w:rPr>
          <w:rFonts w:hint="eastAsia" w:eastAsia="宋体" w:cs="宋体"/>
          <w:color w:val="auto"/>
          <w:lang w:eastAsia="zh-CN"/>
        </w:rPr>
      </w:pPr>
      <w:r>
        <w:rPr>
          <w:rFonts w:hint="eastAsia" w:eastAsia="宋体" w:cs="宋体"/>
          <w:color w:val="auto"/>
          <w:lang w:eastAsia="zh-CN"/>
        </w:rPr>
        <w:t>坚持推进排水户源头监管。完善排水单元日常监管责任机制，按照</w:t>
      </w:r>
      <w:r>
        <w:rPr>
          <w:rFonts w:hint="default" w:eastAsia="宋体" w:cs="宋体"/>
          <w:color w:val="auto"/>
          <w:lang w:eastAsia="zh-CN"/>
        </w:rPr>
        <w:t>“</w:t>
      </w:r>
      <w:r>
        <w:rPr>
          <w:rFonts w:hint="eastAsia" w:eastAsia="宋体" w:cs="宋体"/>
          <w:color w:val="auto"/>
          <w:lang w:eastAsia="zh-CN"/>
        </w:rPr>
        <w:t>行业分类、接驳分级</w:t>
      </w:r>
      <w:r>
        <w:rPr>
          <w:rFonts w:hint="default" w:eastAsia="宋体" w:cs="宋体"/>
          <w:color w:val="auto"/>
          <w:lang w:eastAsia="zh-CN"/>
        </w:rPr>
        <w:t>”</w:t>
      </w:r>
      <w:r>
        <w:rPr>
          <w:rFonts w:hint="eastAsia" w:eastAsia="宋体" w:cs="宋体"/>
          <w:color w:val="auto"/>
          <w:lang w:eastAsia="zh-CN"/>
        </w:rPr>
        <w:t>的原则，全面推进各类各级排水户的差异化管控。结合排水单元达标建设工作，对各区住宅小区排水设施进行全覆盖监管，形成可追溯、可倒查、可问责的闭环管理机制。</w:t>
      </w:r>
    </w:p>
    <w:p>
      <w:pPr>
        <w:bidi w:val="0"/>
        <w:rPr>
          <w:rFonts w:hint="eastAsia" w:eastAsia="宋体" w:cs="宋体"/>
          <w:color w:val="auto"/>
          <w:lang w:eastAsia="zh-CN"/>
        </w:rPr>
      </w:pPr>
      <w:r>
        <w:rPr>
          <w:rFonts w:hint="eastAsia" w:eastAsia="宋体" w:cs="宋体"/>
          <w:color w:val="auto"/>
          <w:lang w:eastAsia="zh-CN"/>
        </w:rPr>
        <w:t>（二）持续提升污水收集处理能力</w:t>
      </w:r>
    </w:p>
    <w:p>
      <w:pPr>
        <w:bidi w:val="0"/>
        <w:rPr>
          <w:rFonts w:hint="eastAsia" w:eastAsia="宋体" w:cs="宋体"/>
          <w:color w:val="auto"/>
          <w:lang w:eastAsia="zh-CN"/>
        </w:rPr>
      </w:pPr>
      <w:r>
        <w:rPr>
          <w:rFonts w:hint="eastAsia" w:eastAsia="宋体" w:cs="宋体"/>
          <w:color w:val="auto"/>
          <w:lang w:eastAsia="zh-CN"/>
        </w:rPr>
        <w:t>增强污水片区输送保障能力和系统韧性；与排水单元达标建设工作同步，实施配套公共排水管网建设。</w:t>
      </w:r>
      <w:r>
        <w:rPr>
          <w:rFonts w:hint="default" w:eastAsia="宋体" w:cs="宋体"/>
          <w:color w:val="auto"/>
          <w:lang w:eastAsia="zh-CN"/>
        </w:rPr>
        <w:t>“</w:t>
      </w:r>
      <w:r>
        <w:rPr>
          <w:rFonts w:hint="eastAsia" w:eastAsia="宋体" w:cs="宋体"/>
          <w:color w:val="auto"/>
          <w:lang w:eastAsia="zh-CN"/>
        </w:rPr>
        <w:t>十四五</w:t>
      </w:r>
      <w:r>
        <w:rPr>
          <w:rFonts w:hint="default" w:eastAsia="宋体" w:cs="宋体"/>
          <w:color w:val="auto"/>
          <w:lang w:eastAsia="zh-CN"/>
        </w:rPr>
        <w:t>”</w:t>
      </w:r>
      <w:r>
        <w:rPr>
          <w:rFonts w:hint="eastAsia" w:eastAsia="宋体" w:cs="宋体"/>
          <w:color w:val="auto"/>
          <w:lang w:eastAsia="zh-CN"/>
        </w:rPr>
        <w:t>期间，新建公共污水管网约</w:t>
      </w:r>
      <w:r>
        <w:rPr>
          <w:rFonts w:hint="default" w:eastAsia="宋体" w:cs="宋体"/>
          <w:color w:val="auto"/>
          <w:lang w:eastAsia="zh-CN"/>
        </w:rPr>
        <w:t xml:space="preserve">2700 </w:t>
      </w:r>
      <w:r>
        <w:rPr>
          <w:rFonts w:hint="eastAsia" w:eastAsia="宋体" w:cs="宋体"/>
          <w:color w:val="auto"/>
          <w:lang w:eastAsia="zh-CN"/>
        </w:rPr>
        <w:t>公里。推进老旧排水管网更新改造。落实排水管网更新改造及隐患修改工作机制，针对管网摸查中发现的设施老旧或结构性缺陷的隐患问题，按照轻重缓急原则分类进行修复改造，提高现有管网的排水能力。到</w:t>
      </w:r>
      <w:r>
        <w:rPr>
          <w:rFonts w:hint="default" w:eastAsia="宋体" w:cs="宋体"/>
          <w:color w:val="auto"/>
          <w:lang w:eastAsia="zh-CN"/>
        </w:rPr>
        <w:t xml:space="preserve">2025 </w:t>
      </w:r>
      <w:r>
        <w:rPr>
          <w:rFonts w:hint="eastAsia" w:eastAsia="宋体" w:cs="宋体"/>
          <w:color w:val="auto"/>
          <w:lang w:eastAsia="zh-CN"/>
        </w:rPr>
        <w:t>年底，完成存量排水管网更新改造及隐患修复</w:t>
      </w:r>
      <w:r>
        <w:rPr>
          <w:rFonts w:hint="default" w:eastAsia="宋体" w:cs="宋体"/>
          <w:color w:val="auto"/>
          <w:lang w:eastAsia="zh-CN"/>
        </w:rPr>
        <w:t xml:space="preserve">200 </w:t>
      </w:r>
      <w:r>
        <w:rPr>
          <w:rFonts w:hint="eastAsia" w:eastAsia="宋体" w:cs="宋体"/>
          <w:color w:val="auto"/>
          <w:lang w:eastAsia="zh-CN"/>
        </w:rPr>
        <w:t>公里。</w:t>
      </w:r>
    </w:p>
    <w:p>
      <w:pPr>
        <w:bidi w:val="0"/>
        <w:rPr>
          <w:rFonts w:hint="eastAsia" w:eastAsia="宋体" w:cs="宋体"/>
          <w:color w:val="auto"/>
          <w:lang w:eastAsia="zh-CN"/>
        </w:rPr>
      </w:pPr>
      <w:r>
        <w:rPr>
          <w:rFonts w:hint="eastAsia" w:eastAsia="宋体" w:cs="宋体"/>
          <w:color w:val="auto"/>
          <w:lang w:eastAsia="zh-CN"/>
        </w:rPr>
        <w:t>（三）持续提升排水精细化管理水平</w:t>
      </w:r>
    </w:p>
    <w:p>
      <w:pPr>
        <w:bidi w:val="0"/>
        <w:rPr>
          <w:rFonts w:hint="eastAsia" w:eastAsia="宋体" w:cs="宋体"/>
          <w:color w:val="auto"/>
          <w:lang w:eastAsia="zh-CN"/>
        </w:rPr>
      </w:pPr>
      <w:r>
        <w:rPr>
          <w:rFonts w:hint="eastAsia" w:eastAsia="宋体" w:cs="宋体"/>
          <w:color w:val="auto"/>
          <w:lang w:eastAsia="zh-CN"/>
        </w:rPr>
        <w:t>持续推进污水处理提质增效，加强城镇污水处理设施运行管理，充分发挥处理设施治污减污效能，按照</w:t>
      </w:r>
      <w:r>
        <w:rPr>
          <w:rFonts w:hint="default" w:eastAsia="宋体" w:cs="宋体"/>
          <w:color w:val="auto"/>
          <w:lang w:eastAsia="zh-CN"/>
        </w:rPr>
        <w:t>“</w:t>
      </w:r>
      <w:r>
        <w:rPr>
          <w:rFonts w:hint="eastAsia" w:eastAsia="宋体" w:cs="宋体"/>
          <w:color w:val="auto"/>
          <w:lang w:eastAsia="zh-CN"/>
        </w:rPr>
        <w:t>一厂一策</w:t>
      </w:r>
      <w:r>
        <w:rPr>
          <w:rFonts w:hint="default" w:eastAsia="宋体" w:cs="宋体"/>
          <w:color w:val="auto"/>
          <w:lang w:eastAsia="zh-CN"/>
        </w:rPr>
        <w:t>”</w:t>
      </w:r>
      <w:r>
        <w:rPr>
          <w:rFonts w:hint="eastAsia" w:eastAsia="宋体" w:cs="宋体"/>
          <w:color w:val="auto"/>
          <w:lang w:eastAsia="zh-CN"/>
        </w:rPr>
        <w:t>提升城市污水处理厂生化需氧量、氨氮进水浓度，实现污水收集率和污水处理厂进水浓度</w:t>
      </w:r>
      <w:r>
        <w:rPr>
          <w:rFonts w:hint="default" w:eastAsia="宋体" w:cs="宋体"/>
          <w:color w:val="auto"/>
          <w:lang w:eastAsia="zh-CN"/>
        </w:rPr>
        <w:t>“</w:t>
      </w:r>
      <w:r>
        <w:rPr>
          <w:rFonts w:hint="eastAsia" w:eastAsia="宋体" w:cs="宋体"/>
          <w:color w:val="auto"/>
          <w:lang w:eastAsia="zh-CN"/>
        </w:rPr>
        <w:t>双提升</w:t>
      </w:r>
      <w:r>
        <w:rPr>
          <w:rFonts w:hint="default" w:eastAsia="宋体" w:cs="宋体"/>
          <w:color w:val="auto"/>
          <w:lang w:eastAsia="zh-CN"/>
        </w:rPr>
        <w:t>”</w:t>
      </w:r>
      <w:r>
        <w:rPr>
          <w:rFonts w:hint="eastAsia" w:eastAsia="宋体" w:cs="宋体"/>
          <w:color w:val="auto"/>
          <w:lang w:eastAsia="zh-CN"/>
        </w:rPr>
        <w:t>。完善厂网河一体化运维机制，深入开展污水厂网联调联控、日排日清工作，强化污水厂网运行，优化站闸调度管理，推动全市排水管网满管率逐年下降，到</w:t>
      </w:r>
      <w:r>
        <w:rPr>
          <w:rFonts w:hint="default" w:eastAsia="宋体" w:cs="宋体"/>
          <w:color w:val="auto"/>
          <w:lang w:eastAsia="zh-CN"/>
        </w:rPr>
        <w:t>2025</w:t>
      </w:r>
      <w:r>
        <w:rPr>
          <w:rFonts w:hint="eastAsia" w:eastAsia="宋体" w:cs="宋体"/>
          <w:color w:val="auto"/>
          <w:lang w:eastAsia="zh-CN"/>
        </w:rPr>
        <w:t>年，全市年均满管率较</w:t>
      </w:r>
      <w:r>
        <w:rPr>
          <w:rFonts w:hint="default" w:eastAsia="宋体" w:cs="宋体"/>
          <w:color w:val="auto"/>
          <w:lang w:eastAsia="zh-CN"/>
        </w:rPr>
        <w:t xml:space="preserve">2020 </w:t>
      </w:r>
      <w:r>
        <w:rPr>
          <w:rFonts w:hint="eastAsia" w:eastAsia="宋体" w:cs="宋体"/>
          <w:color w:val="auto"/>
          <w:lang w:eastAsia="zh-CN"/>
        </w:rPr>
        <w:t>年下降</w:t>
      </w:r>
      <w:r>
        <w:rPr>
          <w:rFonts w:hint="default" w:eastAsia="宋体" w:cs="宋体"/>
          <w:color w:val="auto"/>
          <w:lang w:eastAsia="zh-CN"/>
        </w:rPr>
        <w:t>5%</w:t>
      </w:r>
      <w:r>
        <w:rPr>
          <w:rFonts w:hint="eastAsia" w:eastAsia="宋体" w:cs="宋体"/>
          <w:color w:val="auto"/>
          <w:lang w:eastAsia="zh-CN"/>
        </w:rPr>
        <w:t>，实现管网晴天少存水、闸站雨天少开闸，最大限度减少雨季溢流污染。规范工业企业排水管理，对进入城镇污水管网的工业企业进行评估，对评估认定不达标的工业企业，责令其限期整改或清退。</w:t>
      </w:r>
    </w:p>
    <w:p>
      <w:pPr>
        <w:bidi w:val="0"/>
        <w:rPr>
          <w:rFonts w:hint="eastAsia" w:eastAsia="宋体" w:cs="宋体"/>
          <w:b/>
          <w:bCs/>
          <w:color w:val="auto"/>
          <w:lang w:eastAsia="zh-CN"/>
        </w:rPr>
      </w:pPr>
      <w:r>
        <w:rPr>
          <w:rFonts w:hint="eastAsia" w:eastAsia="宋体" w:cs="宋体"/>
          <w:b/>
          <w:bCs/>
          <w:color w:val="auto"/>
          <w:lang w:eastAsia="zh-CN"/>
        </w:rPr>
        <w:t>本项目的建设为填补城市污水收集空白区，对区域内区属机关事业单位（含学校）排水单元进行雨污分流改造，为周边商业类等其他排水单元达标创建提供基础设施条件，项目建设符合广州市水务发展“十四五”规划，是重要的基础设施工程。</w:t>
      </w:r>
    </w:p>
    <w:p>
      <w:pPr>
        <w:pStyle w:val="39"/>
        <w:numPr>
          <w:ilvl w:val="1"/>
          <w:numId w:val="9"/>
        </w:numPr>
        <w:rPr>
          <w:rFonts w:cs="宋体"/>
          <w:color w:val="auto"/>
          <w:sz w:val="28"/>
          <w:szCs w:val="28"/>
        </w:rPr>
      </w:pPr>
      <w:bookmarkStart w:id="29" w:name="_Toc30819"/>
      <w:r>
        <w:rPr>
          <w:rFonts w:hint="eastAsia" w:cs="宋体"/>
          <w:color w:val="auto"/>
          <w:sz w:val="28"/>
          <w:szCs w:val="28"/>
          <w:lang w:val="en-US" w:eastAsia="zh-CN"/>
        </w:rPr>
        <w:t>《广州市污水系统总体规划》（2021-2035）</w:t>
      </w:r>
      <w:bookmarkEnd w:id="29"/>
    </w:p>
    <w:p>
      <w:pPr>
        <w:numPr>
          <w:ilvl w:val="0"/>
          <w:numId w:val="12"/>
        </w:numPr>
        <w:ind w:firstLine="565"/>
        <w:rPr>
          <w:rFonts w:hint="default" w:cs="宋体" w:asciiTheme="minorEastAsia" w:hAnsiTheme="minorEastAsia" w:eastAsiaTheme="minorEastAsia"/>
          <w:color w:val="auto"/>
          <w:sz w:val="28"/>
          <w:szCs w:val="21"/>
          <w:lang w:val="en-US"/>
        </w:rPr>
      </w:pPr>
      <w:r>
        <w:rPr>
          <w:rFonts w:hint="default" w:cs="宋体" w:asciiTheme="minorEastAsia" w:hAnsiTheme="minorEastAsia" w:eastAsiaTheme="minorEastAsia"/>
          <w:color w:val="auto"/>
          <w:sz w:val="28"/>
          <w:szCs w:val="21"/>
          <w:lang w:val="en-US"/>
        </w:rPr>
        <w:t>规划范围</w:t>
      </w:r>
    </w:p>
    <w:p>
      <w:pPr>
        <w:ind w:firstLine="565"/>
        <w:rPr>
          <w:rFonts w:hint="default" w:cs="宋体" w:asciiTheme="minorEastAsia" w:hAnsiTheme="minorEastAsia" w:eastAsiaTheme="minorEastAsia"/>
          <w:color w:val="auto"/>
          <w:sz w:val="28"/>
          <w:szCs w:val="21"/>
          <w:lang w:val="en-US"/>
        </w:rPr>
      </w:pPr>
      <w:r>
        <w:rPr>
          <w:rFonts w:hint="default" w:cs="宋体" w:asciiTheme="minorEastAsia" w:hAnsiTheme="minorEastAsia" w:eastAsiaTheme="minorEastAsia"/>
          <w:color w:val="auto"/>
          <w:sz w:val="28"/>
          <w:szCs w:val="21"/>
          <w:lang w:val="en-US"/>
        </w:rPr>
        <w:t>广州市市域，包含荔湾、越秀、海珠、天河、白云、黄埔、番禺、南沙、花都、从化、增城11区。</w:t>
      </w:r>
    </w:p>
    <w:p>
      <w:pPr>
        <w:numPr>
          <w:ilvl w:val="0"/>
          <w:numId w:val="12"/>
        </w:numPr>
        <w:ind w:firstLine="565"/>
        <w:rPr>
          <w:rFonts w:hint="default" w:cs="宋体" w:asciiTheme="minorEastAsia" w:hAnsiTheme="minorEastAsia" w:eastAsiaTheme="minorEastAsia"/>
          <w:color w:val="auto"/>
          <w:sz w:val="28"/>
          <w:szCs w:val="21"/>
          <w:lang w:val="en-US"/>
        </w:rPr>
      </w:pPr>
      <w:r>
        <w:rPr>
          <w:rFonts w:hint="default" w:cs="宋体" w:asciiTheme="minorEastAsia" w:hAnsiTheme="minorEastAsia" w:eastAsiaTheme="minorEastAsia"/>
          <w:color w:val="auto"/>
          <w:sz w:val="28"/>
          <w:szCs w:val="21"/>
          <w:lang w:val="en-US"/>
        </w:rPr>
        <w:t>规划</w:t>
      </w:r>
      <w:r>
        <w:rPr>
          <w:rFonts w:hint="eastAsia" w:cs="宋体" w:asciiTheme="minorEastAsia" w:hAnsiTheme="minorEastAsia" w:eastAsiaTheme="minorEastAsia"/>
          <w:color w:val="auto"/>
          <w:sz w:val="28"/>
          <w:szCs w:val="21"/>
          <w:lang w:val="en-US" w:eastAsia="zh-CN"/>
        </w:rPr>
        <w:t>年限</w:t>
      </w:r>
    </w:p>
    <w:p>
      <w:pPr>
        <w:ind w:firstLine="565"/>
        <w:rPr>
          <w:rFonts w:hint="default" w:cs="宋体" w:asciiTheme="minorEastAsia" w:hAnsiTheme="minorEastAsia" w:eastAsiaTheme="minorEastAsia"/>
          <w:color w:val="auto"/>
          <w:sz w:val="28"/>
          <w:szCs w:val="21"/>
          <w:lang w:val="en-US"/>
        </w:rPr>
      </w:pPr>
      <w:r>
        <w:rPr>
          <w:rFonts w:hint="default" w:cs="宋体" w:asciiTheme="minorEastAsia" w:hAnsiTheme="minorEastAsia" w:eastAsiaTheme="minorEastAsia"/>
          <w:color w:val="auto"/>
          <w:sz w:val="28"/>
          <w:szCs w:val="21"/>
          <w:lang w:val="en-US"/>
        </w:rPr>
        <w:t>规划年限分三阶段：</w:t>
      </w:r>
    </w:p>
    <w:p>
      <w:pPr>
        <w:ind w:firstLine="565"/>
        <w:rPr>
          <w:rFonts w:hint="eastAsia" w:cs="宋体" w:asciiTheme="minorEastAsia" w:hAnsiTheme="minorEastAsia" w:eastAsiaTheme="minorEastAsia"/>
          <w:color w:val="auto"/>
          <w:sz w:val="28"/>
          <w:szCs w:val="21"/>
          <w:lang w:val="en-US" w:eastAsia="zh-CN"/>
        </w:rPr>
      </w:pPr>
      <w:r>
        <w:rPr>
          <w:rFonts w:hint="default" w:cs="宋体" w:asciiTheme="minorEastAsia" w:hAnsiTheme="minorEastAsia" w:eastAsiaTheme="minorEastAsia"/>
          <w:color w:val="auto"/>
          <w:sz w:val="28"/>
          <w:szCs w:val="21"/>
          <w:lang w:val="en-US"/>
        </w:rPr>
        <w:t>近期年限：2025年</w:t>
      </w:r>
      <w:r>
        <w:rPr>
          <w:rFonts w:hint="eastAsia" w:cs="宋体" w:asciiTheme="minorEastAsia" w:hAnsiTheme="minorEastAsia" w:eastAsiaTheme="minorEastAsia"/>
          <w:color w:val="auto"/>
          <w:sz w:val="28"/>
          <w:szCs w:val="21"/>
          <w:lang w:val="en-US" w:eastAsia="zh-CN"/>
        </w:rPr>
        <w:t>、</w:t>
      </w:r>
      <w:r>
        <w:rPr>
          <w:rFonts w:hint="default" w:cs="宋体" w:asciiTheme="minorEastAsia" w:hAnsiTheme="minorEastAsia" w:eastAsiaTheme="minorEastAsia"/>
          <w:color w:val="auto"/>
          <w:sz w:val="28"/>
          <w:szCs w:val="21"/>
          <w:lang w:val="en-US"/>
        </w:rPr>
        <w:t>远期年限：2035年</w:t>
      </w:r>
      <w:r>
        <w:rPr>
          <w:rFonts w:hint="eastAsia" w:cs="宋体" w:asciiTheme="minorEastAsia" w:hAnsiTheme="minorEastAsia" w:eastAsiaTheme="minorEastAsia"/>
          <w:color w:val="auto"/>
          <w:sz w:val="28"/>
          <w:szCs w:val="21"/>
          <w:lang w:val="en-US" w:eastAsia="zh-CN"/>
        </w:rPr>
        <w:t>、</w:t>
      </w:r>
      <w:r>
        <w:rPr>
          <w:rFonts w:hint="default" w:cs="宋体" w:asciiTheme="minorEastAsia" w:hAnsiTheme="minorEastAsia" w:eastAsiaTheme="minorEastAsia"/>
          <w:color w:val="auto"/>
          <w:sz w:val="28"/>
          <w:szCs w:val="21"/>
          <w:lang w:val="en-US"/>
        </w:rPr>
        <w:t>基准年：2020年</w:t>
      </w:r>
      <w:r>
        <w:rPr>
          <w:rFonts w:hint="eastAsia" w:cs="宋体" w:asciiTheme="minorEastAsia" w:hAnsiTheme="minorEastAsia" w:eastAsiaTheme="minorEastAsia"/>
          <w:color w:val="auto"/>
          <w:sz w:val="28"/>
          <w:szCs w:val="21"/>
          <w:lang w:val="en-US" w:eastAsia="zh-CN"/>
        </w:rPr>
        <w:t>。</w:t>
      </w:r>
    </w:p>
    <w:p>
      <w:pPr>
        <w:pStyle w:val="40"/>
        <w:numPr>
          <w:ilvl w:val="2"/>
          <w:numId w:val="9"/>
        </w:numPr>
        <w:bidi w:val="0"/>
        <w:ind w:left="0" w:leftChars="0" w:firstLine="0" w:firstLineChars="0"/>
        <w:rPr>
          <w:color w:val="auto"/>
        </w:rPr>
      </w:pPr>
      <w:r>
        <w:rPr>
          <w:color w:val="auto"/>
        </w:rPr>
        <w:t>规划目标</w:t>
      </w:r>
    </w:p>
    <w:p>
      <w:pPr>
        <w:numPr>
          <w:ilvl w:val="0"/>
          <w:numId w:val="13"/>
        </w:num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污水治理目标</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坚持精准治污、科学治污、依法治污，强化源头治理、系统治理、综合治理，以巩固、优化城乡污水收集处理设施建设及管理效能为目标，以提质增效为重点，持续优化污水治理系统，实现污水治理“两转变、两提升”，建成“固本清源、慧管互联”的污水治理体系，提升城市治污韧性和包容性，助力我市碳达峰、碳中和工作走在前列。</w:t>
      </w:r>
    </w:p>
    <w:p>
      <w:pPr>
        <w:numPr>
          <w:ilvl w:val="0"/>
          <w:numId w:val="13"/>
        </w:num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城镇污水治理目标</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至规划期末，实现固本清源、慧管互联的水污染治理格局。高标准建设污水收集处理设施，高质量创建排水达标单元，构建“智慧水务”排水管理蓝图,构建系统互联互通提升城市治污韧性和包容性。</w:t>
      </w:r>
    </w:p>
    <w:p>
      <w:pPr>
        <w:numPr>
          <w:ilvl w:val="0"/>
          <w:numId w:val="13"/>
        </w:num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农村污水治理目标</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因地制宜推进农污设施升级改造，继续完善农村生活污水治理设施及污水收集管网系统，实现农村生活污水全收集全处理，推进农村污水就地再生利用。</w:t>
      </w:r>
    </w:p>
    <w:p>
      <w:pPr>
        <w:numPr>
          <w:ilvl w:val="0"/>
          <w:numId w:val="13"/>
        </w:num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污泥处理系统规划目标</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污泥处理处置的目标是基本实现污泥稳定化、无害化和资源化:鼓励回收和利用污泥中的能源和资源。坚持在安全、环保和经济的前提下实现污泥的处理处置和综合利用，达到节能减排和发展循环经济的目的。</w:t>
      </w:r>
    </w:p>
    <w:p>
      <w:pPr>
        <w:pStyle w:val="40"/>
        <w:numPr>
          <w:ilvl w:val="2"/>
          <w:numId w:val="9"/>
        </w:numPr>
        <w:bidi w:val="0"/>
        <w:ind w:left="0" w:leftChars="0" w:firstLine="0" w:firstLineChars="0"/>
        <w:rPr>
          <w:rFonts w:hint="eastAsia"/>
          <w:color w:val="auto"/>
          <w:lang w:val="en-US" w:eastAsia="zh-CN"/>
        </w:rPr>
      </w:pPr>
      <w:r>
        <w:rPr>
          <w:rFonts w:hint="eastAsia"/>
          <w:color w:val="auto"/>
          <w:lang w:val="en-US" w:eastAsia="zh-CN"/>
        </w:rPr>
        <w:t>主要指标</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至规划期末，全面实现城乡污水管网全覆盖、点源污染全收集全处理、面源污染综合治理，构建形成与新时代生态环境相匹配、满足水环境功能区划要求的水环境治理体系。</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主要规划指标:</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(1)城镇污水处理</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不断推进城镇污水收集和处理设施建设完善，提高污水收集率，提升污水处理效率。</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2025 年分阶段目标: 城镇污水处理率达到 98%:城市生活污水集中收集率(向污水处理厂排水的城区人口占城区用水总人口的比例) 达到 85%以上，稳步提升,达到国家、省考核要求;污水处理广进水生化需氧量浓度达到 110 mg/L。2035 年分阶段目标: 城镇污水处理率达到 99%;城市生活污水集中收集率(向污水处理厂排水的城区人口占城区用水总人口的比例)达到 90%以上。</w:t>
      </w:r>
    </w:p>
    <w:p>
      <w:pPr>
        <w:pStyle w:val="40"/>
        <w:numPr>
          <w:ilvl w:val="2"/>
          <w:numId w:val="9"/>
        </w:numPr>
        <w:bidi w:val="0"/>
        <w:ind w:left="0" w:leftChars="0" w:firstLine="0" w:firstLineChars="0"/>
        <w:rPr>
          <w:rFonts w:hint="default"/>
          <w:color w:val="auto"/>
          <w:lang w:val="en-US"/>
        </w:rPr>
      </w:pPr>
      <w:r>
        <w:rPr>
          <w:rFonts w:hint="eastAsia"/>
          <w:color w:val="auto"/>
          <w:lang w:val="en-US" w:eastAsia="zh-CN"/>
        </w:rPr>
        <w:t>从化区污水系统规划</w:t>
      </w:r>
    </w:p>
    <w:p>
      <w:pPr>
        <w:ind w:firstLine="565"/>
        <w:rPr>
          <w:rFonts w:hint="default" w:cs="宋体" w:asciiTheme="minorEastAsia" w:hAnsiTheme="minorEastAsia" w:eastAsiaTheme="minorEastAsia"/>
          <w:color w:val="auto"/>
          <w:sz w:val="28"/>
          <w:szCs w:val="21"/>
          <w:lang w:val="en-US"/>
        </w:rPr>
      </w:pPr>
      <w:r>
        <w:rPr>
          <w:rFonts w:hint="default" w:cs="宋体" w:asciiTheme="minorEastAsia" w:hAnsiTheme="minorEastAsia" w:eastAsiaTheme="minorEastAsia"/>
          <w:color w:val="auto"/>
          <w:sz w:val="28"/>
          <w:szCs w:val="21"/>
          <w:lang w:val="en-US"/>
        </w:rPr>
        <w:t>从化区共划分 6个污水处理系统。</w:t>
      </w:r>
      <w:r>
        <w:rPr>
          <w:rFonts w:hint="eastAsia" w:cs="宋体" w:asciiTheme="minorEastAsia" w:hAnsiTheme="minorEastAsia" w:eastAsiaTheme="minorEastAsia"/>
          <w:color w:val="auto"/>
          <w:sz w:val="28"/>
          <w:szCs w:val="21"/>
          <w:lang w:val="en-US" w:eastAsia="zh-CN"/>
        </w:rPr>
        <w:t>分别为</w:t>
      </w:r>
      <w:r>
        <w:rPr>
          <w:rFonts w:hint="default" w:cs="宋体" w:asciiTheme="minorEastAsia" w:hAnsiTheme="minorEastAsia" w:eastAsiaTheme="minorEastAsia"/>
          <w:color w:val="auto"/>
          <w:sz w:val="28"/>
          <w:szCs w:val="21"/>
          <w:lang w:val="en-US"/>
        </w:rPr>
        <w:t>:中心城区污水处理系统、太平镇污水处理系统、整头镇污水处理系统、温泉镇污水处理系统、良口镇污水处理系统、吕田镇污水处理系统。</w:t>
      </w:r>
    </w:p>
    <w:p>
      <w:pPr>
        <w:ind w:firstLine="565"/>
        <w:rPr>
          <w:rFonts w:hint="eastAsia" w:cs="宋体" w:asciiTheme="minorEastAsia" w:hAnsiTheme="minorEastAsia" w:eastAsiaTheme="minorEastAsia"/>
          <w:b/>
          <w:bCs/>
          <w:color w:val="auto"/>
          <w:sz w:val="28"/>
          <w:szCs w:val="21"/>
          <w:lang w:val="en-US" w:eastAsia="zh-CN"/>
        </w:rPr>
      </w:pPr>
      <w:r>
        <w:rPr>
          <w:rFonts w:hint="eastAsia" w:cs="宋体" w:asciiTheme="minorEastAsia" w:hAnsiTheme="minorEastAsia" w:eastAsiaTheme="minorEastAsia"/>
          <w:b/>
          <w:bCs/>
          <w:color w:val="auto"/>
          <w:sz w:val="28"/>
          <w:szCs w:val="21"/>
          <w:lang w:val="en-US" w:eastAsia="zh-CN"/>
        </w:rPr>
        <w:t>本项目位于中心城区污水处理系统。</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规划中心城区污水处理系统服务面积约 68km</w:t>
      </w:r>
      <w:r>
        <w:rPr>
          <w:rFonts w:hint="eastAsia" w:cs="宋体" w:asciiTheme="minorEastAsia" w:hAnsiTheme="minorEastAsia" w:eastAsiaTheme="minorEastAsia"/>
          <w:color w:val="auto"/>
          <w:sz w:val="28"/>
          <w:szCs w:val="21"/>
          <w:vertAlign w:val="superscript"/>
          <w:lang w:val="en-US" w:eastAsia="zh-CN"/>
        </w:rPr>
        <w:t>2</w:t>
      </w:r>
      <w:r>
        <w:rPr>
          <w:rFonts w:hint="eastAsia" w:cs="宋体" w:asciiTheme="minorEastAsia" w:hAnsiTheme="minorEastAsia" w:eastAsiaTheme="minorEastAsia"/>
          <w:color w:val="auto"/>
          <w:sz w:val="28"/>
          <w:szCs w:val="21"/>
          <w:lang w:val="en-US" w:eastAsia="zh-CN"/>
        </w:rPr>
        <w:t>,服务范围北至从化区希贤小学，东至南围村，南至逸泉山庄，西至城郊街中心小学。</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近远期新建区严格按完全分流制进行污水管系统建设，近期 2025 年系统内各自然村雨污分流率为 100%，其余区域排水单元达标率为 90%。规划远期 2035年建成区按 100%雨污分流进行规划。</w:t>
      </w:r>
    </w:p>
    <w:p>
      <w:pPr>
        <w:ind w:left="0" w:leftChars="0" w:firstLine="0" w:firstLineChars="0"/>
        <w:rPr>
          <w:color w:val="auto"/>
        </w:rPr>
      </w:pPr>
      <w:r>
        <w:rPr>
          <w:color w:val="auto"/>
        </w:rPr>
        <w:drawing>
          <wp:inline distT="0" distB="0" distL="114300" distR="114300">
            <wp:extent cx="5673725" cy="3891915"/>
            <wp:effectExtent l="0" t="0" r="3175" b="13335"/>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40"/>
                    <a:stretch>
                      <a:fillRect/>
                    </a:stretch>
                  </pic:blipFill>
                  <pic:spPr>
                    <a:xfrm>
                      <a:off x="0" y="0"/>
                      <a:ext cx="5673725" cy="3891915"/>
                    </a:xfrm>
                    <a:prstGeom prst="rect">
                      <a:avLst/>
                    </a:prstGeom>
                    <a:noFill/>
                    <a:ln>
                      <a:noFill/>
                    </a:ln>
                  </pic:spPr>
                </pic:pic>
              </a:graphicData>
            </a:graphic>
          </wp:inline>
        </w:drawing>
      </w:r>
    </w:p>
    <w:p>
      <w:pPr>
        <w:pStyle w:val="44"/>
        <w:numPr>
          <w:ilvl w:val="8"/>
          <w:numId w:val="9"/>
        </w:numPr>
        <w:rPr>
          <w:rStyle w:val="92"/>
          <w:rFonts w:cs="宋体"/>
          <w:color w:val="auto"/>
        </w:rPr>
      </w:pPr>
      <w:r>
        <w:rPr>
          <w:rFonts w:hint="default" w:cs="宋体" w:asciiTheme="minorEastAsia" w:hAnsiTheme="minorEastAsia" w:eastAsiaTheme="minorEastAsia"/>
          <w:color w:val="auto"/>
          <w:sz w:val="28"/>
          <w:szCs w:val="21"/>
          <w:lang w:val="en-US" w:eastAsia="zh-CN"/>
        </w:rPr>
        <w:t xml:space="preserve"> </w:t>
      </w:r>
      <w:r>
        <w:rPr>
          <w:rStyle w:val="92"/>
          <w:rFonts w:hint="eastAsia" w:cs="宋体"/>
          <w:color w:val="auto"/>
          <w:lang w:val="en-US" w:eastAsia="zh-CN"/>
        </w:rPr>
        <w:t>从化污水系统规划分区图</w:t>
      </w:r>
    </w:p>
    <w:p>
      <w:pPr>
        <w:pStyle w:val="39"/>
        <w:numPr>
          <w:ilvl w:val="1"/>
          <w:numId w:val="9"/>
        </w:numPr>
        <w:rPr>
          <w:rFonts w:cs="宋体"/>
          <w:color w:val="auto"/>
          <w:sz w:val="28"/>
          <w:szCs w:val="28"/>
        </w:rPr>
      </w:pPr>
      <w:bookmarkStart w:id="30" w:name="_Toc3128"/>
      <w:r>
        <w:rPr>
          <w:rFonts w:hint="eastAsia" w:cs="宋体"/>
          <w:color w:val="auto"/>
          <w:sz w:val="28"/>
          <w:szCs w:val="28"/>
          <w:lang w:val="en-US" w:eastAsia="zh-CN"/>
        </w:rPr>
        <w:t>《广州市雨水系统总体规划》（2021-2035）</w:t>
      </w:r>
      <w:bookmarkEnd w:id="30"/>
    </w:p>
    <w:p>
      <w:pPr>
        <w:numPr>
          <w:ilvl w:val="0"/>
          <w:numId w:val="14"/>
        </w:numPr>
        <w:ind w:firstLine="565"/>
        <w:rPr>
          <w:rFonts w:hint="default" w:cs="宋体" w:asciiTheme="minorEastAsia" w:hAnsiTheme="minorEastAsia" w:eastAsiaTheme="minorEastAsia"/>
          <w:color w:val="auto"/>
          <w:sz w:val="28"/>
          <w:szCs w:val="21"/>
          <w:lang w:val="en-US"/>
        </w:rPr>
      </w:pPr>
      <w:r>
        <w:rPr>
          <w:rFonts w:hint="default" w:cs="宋体" w:asciiTheme="minorEastAsia" w:hAnsiTheme="minorEastAsia" w:eastAsiaTheme="minorEastAsia"/>
          <w:color w:val="auto"/>
          <w:sz w:val="28"/>
          <w:szCs w:val="21"/>
          <w:lang w:val="en-US"/>
        </w:rPr>
        <w:t>规划范围</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广州市市域，包含荔湾、越秀、海珠、天河、白云、黄埔、番禺、南沙、花都、从化、增城11区。</w:t>
      </w:r>
    </w:p>
    <w:p>
      <w:pPr>
        <w:numPr>
          <w:ilvl w:val="0"/>
          <w:numId w:val="14"/>
        </w:numPr>
        <w:ind w:firstLine="565"/>
        <w:rPr>
          <w:rFonts w:hint="default" w:cs="宋体" w:asciiTheme="minorEastAsia" w:hAnsiTheme="minorEastAsia" w:eastAsiaTheme="minorEastAsia"/>
          <w:color w:val="auto"/>
          <w:sz w:val="28"/>
          <w:szCs w:val="21"/>
          <w:lang w:val="en-US"/>
        </w:rPr>
      </w:pPr>
      <w:r>
        <w:rPr>
          <w:rFonts w:hint="default" w:cs="宋体" w:asciiTheme="minorEastAsia" w:hAnsiTheme="minorEastAsia" w:eastAsiaTheme="minorEastAsia"/>
          <w:color w:val="auto"/>
          <w:sz w:val="28"/>
          <w:szCs w:val="21"/>
          <w:lang w:val="en-US"/>
        </w:rPr>
        <w:t>规划</w:t>
      </w:r>
      <w:r>
        <w:rPr>
          <w:rFonts w:hint="eastAsia" w:cs="宋体" w:asciiTheme="minorEastAsia" w:hAnsiTheme="minorEastAsia" w:eastAsiaTheme="minorEastAsia"/>
          <w:color w:val="auto"/>
          <w:sz w:val="28"/>
          <w:szCs w:val="21"/>
          <w:lang w:val="en-US" w:eastAsia="zh-CN"/>
        </w:rPr>
        <w:t>年限</w:t>
      </w:r>
    </w:p>
    <w:p>
      <w:pPr>
        <w:ind w:firstLine="565"/>
        <w:rPr>
          <w:rFonts w:hint="default" w:cs="宋体" w:asciiTheme="minorEastAsia" w:hAnsiTheme="minorEastAsia" w:eastAsiaTheme="minorEastAsia"/>
          <w:color w:val="auto"/>
          <w:sz w:val="28"/>
          <w:szCs w:val="21"/>
          <w:lang w:val="en-US"/>
        </w:rPr>
      </w:pPr>
      <w:r>
        <w:rPr>
          <w:rFonts w:hint="default" w:cs="宋体" w:asciiTheme="minorEastAsia" w:hAnsiTheme="minorEastAsia" w:eastAsiaTheme="minorEastAsia"/>
          <w:color w:val="auto"/>
          <w:sz w:val="28"/>
          <w:szCs w:val="21"/>
          <w:lang w:val="en-US"/>
        </w:rPr>
        <w:t>规划年限分三阶段：</w:t>
      </w:r>
    </w:p>
    <w:p>
      <w:pPr>
        <w:ind w:firstLine="565"/>
        <w:rPr>
          <w:rFonts w:hint="eastAsia" w:cs="宋体" w:asciiTheme="minorEastAsia" w:hAnsiTheme="minorEastAsia" w:eastAsiaTheme="minorEastAsia"/>
          <w:color w:val="auto"/>
          <w:sz w:val="28"/>
          <w:szCs w:val="21"/>
          <w:lang w:val="en-US" w:eastAsia="zh-CN"/>
        </w:rPr>
      </w:pPr>
      <w:r>
        <w:rPr>
          <w:rFonts w:hint="default" w:cs="宋体" w:asciiTheme="minorEastAsia" w:hAnsiTheme="minorEastAsia" w:eastAsiaTheme="minorEastAsia"/>
          <w:color w:val="auto"/>
          <w:sz w:val="28"/>
          <w:szCs w:val="21"/>
          <w:lang w:val="en-US"/>
        </w:rPr>
        <w:t>近期年限：2025年</w:t>
      </w:r>
      <w:r>
        <w:rPr>
          <w:rFonts w:hint="eastAsia" w:cs="宋体" w:asciiTheme="minorEastAsia" w:hAnsiTheme="minorEastAsia" w:eastAsiaTheme="minorEastAsia"/>
          <w:color w:val="auto"/>
          <w:sz w:val="28"/>
          <w:szCs w:val="21"/>
          <w:lang w:val="en-US" w:eastAsia="zh-CN"/>
        </w:rPr>
        <w:t>、</w:t>
      </w:r>
      <w:r>
        <w:rPr>
          <w:rFonts w:hint="default" w:cs="宋体" w:asciiTheme="minorEastAsia" w:hAnsiTheme="minorEastAsia" w:eastAsiaTheme="minorEastAsia"/>
          <w:color w:val="auto"/>
          <w:sz w:val="28"/>
          <w:szCs w:val="21"/>
          <w:lang w:val="en-US"/>
        </w:rPr>
        <w:t>远期年限：2035年</w:t>
      </w:r>
      <w:r>
        <w:rPr>
          <w:rFonts w:hint="eastAsia" w:cs="宋体" w:asciiTheme="minorEastAsia" w:hAnsiTheme="minorEastAsia" w:eastAsiaTheme="minorEastAsia"/>
          <w:color w:val="auto"/>
          <w:sz w:val="28"/>
          <w:szCs w:val="21"/>
          <w:lang w:val="en-US" w:eastAsia="zh-CN"/>
        </w:rPr>
        <w:t>、</w:t>
      </w:r>
      <w:r>
        <w:rPr>
          <w:rFonts w:hint="default" w:cs="宋体" w:asciiTheme="minorEastAsia" w:hAnsiTheme="minorEastAsia" w:eastAsiaTheme="minorEastAsia"/>
          <w:color w:val="auto"/>
          <w:sz w:val="28"/>
          <w:szCs w:val="21"/>
          <w:lang w:val="en-US"/>
        </w:rPr>
        <w:t>基准年：2020年</w:t>
      </w:r>
      <w:r>
        <w:rPr>
          <w:rFonts w:hint="eastAsia" w:cs="宋体" w:asciiTheme="minorEastAsia" w:hAnsiTheme="minorEastAsia" w:eastAsiaTheme="minorEastAsia"/>
          <w:color w:val="auto"/>
          <w:sz w:val="28"/>
          <w:szCs w:val="21"/>
          <w:lang w:val="en-US" w:eastAsia="zh-CN"/>
        </w:rPr>
        <w:t>。</w:t>
      </w:r>
    </w:p>
    <w:p>
      <w:pPr>
        <w:pStyle w:val="40"/>
        <w:numPr>
          <w:ilvl w:val="2"/>
          <w:numId w:val="9"/>
        </w:numPr>
        <w:bidi w:val="0"/>
        <w:ind w:left="0" w:leftChars="0" w:firstLine="0" w:firstLineChars="0"/>
        <w:rPr>
          <w:color w:val="auto"/>
        </w:rPr>
      </w:pPr>
      <w:r>
        <w:rPr>
          <w:color w:val="auto"/>
        </w:rPr>
        <w:t>规划目标</w:t>
      </w:r>
    </w:p>
    <w:p>
      <w:pPr>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近期目标：到2025 年，因地制宜基本形成“源头减排、管网排放、蓄排并举、超标应急”的城市排水防涝工程体系，城市排水防涝能力显著提升，内涝治理工作取得明显成效。有效应对城市内涝防治标准内的降雨，老城区雨停后能够及时排干积水，低洼地区防洪排涝水平大幅提升，历史上严重影响生产生活秩序的易涝积水点全面消除；新城区不再出现“城市看海”现象。在超出城市内涝防治标准的降雨条件下，城市生命线工程等重要市政基础设施功能不丧失，基本保障城市安全运行。</w:t>
      </w:r>
    </w:p>
    <w:p>
      <w:pPr>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远期目标：至2035 年，建立“绿”“灰”“蓝”“管”立体高标准排水防涝体系，完善和提高城市雨水防灾能力，推进海绵城市建设，建立科学化、智慧化管理体系，力争达到发达国家先进城市的雨水管理水平。</w:t>
      </w:r>
    </w:p>
    <w:p>
      <w:pPr>
        <w:pStyle w:val="40"/>
        <w:numPr>
          <w:ilvl w:val="2"/>
          <w:numId w:val="9"/>
        </w:numPr>
        <w:bidi w:val="0"/>
        <w:ind w:left="0" w:leftChars="0" w:firstLine="0" w:firstLineChars="0"/>
        <w:rPr>
          <w:rFonts w:hint="eastAsia"/>
          <w:color w:val="auto"/>
          <w:lang w:val="en-US" w:eastAsia="zh-CN"/>
        </w:rPr>
      </w:pPr>
      <w:r>
        <w:rPr>
          <w:rFonts w:hint="eastAsia"/>
          <w:color w:val="auto"/>
          <w:lang w:val="en-US" w:eastAsia="zh-CN"/>
        </w:rPr>
        <w:t>规划原则</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（1）安全为先，人水和谐。贯彻“亲水城市，以人为本”的可持续发展战略，以人民生命安全和美好生活环境为出发点，树立安全和谐的规划主基调。</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（2）流域统筹、多规协调。统筹流域和排涝片规划，体现流域性和整体性，相关规划统筹协调，使规划更有落地性和功能复合型。</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（3）系统规划，综合施策。树立“绿、灰、蓝、管”协调排水理念，多措并举，综合施策，建设高标准排水防涝体系，提高城市整体防涝减灾能力。</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（4）建管并举，韧性防御。建设和管理并重，强化非工程和轻工程措施，完善超标暴雨内涝防范预案，建立灾害监测、预报预警、风险评估的综合管控系统，全面提升城市韧性防御水平。</w:t>
      </w:r>
    </w:p>
    <w:p>
      <w:pPr>
        <w:pStyle w:val="40"/>
        <w:numPr>
          <w:ilvl w:val="2"/>
          <w:numId w:val="9"/>
        </w:numPr>
        <w:bidi w:val="0"/>
        <w:ind w:left="0" w:leftChars="0" w:firstLine="0" w:firstLineChars="0"/>
        <w:rPr>
          <w:rFonts w:hint="default"/>
          <w:color w:val="auto"/>
          <w:lang w:val="en-US"/>
        </w:rPr>
      </w:pPr>
      <w:r>
        <w:rPr>
          <w:rFonts w:hint="eastAsia"/>
          <w:color w:val="auto"/>
          <w:lang w:val="en-US" w:eastAsia="zh-CN"/>
        </w:rPr>
        <w:t>从化区雨水系统规划</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从化区主要分为以下排涝片区：</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连麻河排涝片、流溪河水库上游片排涝片、流溪河上游左岸排涝片、流溪河上游右岸排涝片、龙潭河排涝片、流溪河中游左岸片排涝片、小海河排涝片、流溪河中游右岸片排涝片、琶江二河排涝片排涝片。</w:t>
      </w:r>
    </w:p>
    <w:p>
      <w:pPr>
        <w:ind w:firstLine="565"/>
        <w:rPr>
          <w:rFonts w:hint="eastAsia" w:cs="宋体" w:asciiTheme="minorEastAsia" w:hAnsiTheme="minorEastAsia" w:eastAsiaTheme="minorEastAsia"/>
          <w:b/>
          <w:bCs/>
          <w:color w:val="auto"/>
          <w:sz w:val="28"/>
          <w:szCs w:val="21"/>
          <w:lang w:val="en-US" w:eastAsia="zh-CN"/>
        </w:rPr>
      </w:pPr>
      <w:r>
        <w:rPr>
          <w:rFonts w:hint="eastAsia" w:cs="宋体" w:asciiTheme="minorEastAsia" w:hAnsiTheme="minorEastAsia" w:eastAsiaTheme="minorEastAsia"/>
          <w:b/>
          <w:bCs/>
          <w:color w:val="auto"/>
          <w:sz w:val="28"/>
          <w:szCs w:val="21"/>
          <w:lang w:val="en-US" w:eastAsia="zh-CN"/>
        </w:rPr>
        <w:t>本项目位于小海河排涝片，规划采用自排模式排放雨水，无新建雨水管网规划。</w:t>
      </w:r>
    </w:p>
    <w:p>
      <w:pPr>
        <w:keepNext w:val="0"/>
        <w:keepLines w:val="0"/>
        <w:pageBreakBefore w:val="0"/>
        <w:widowControl w:val="0"/>
        <w:kinsoku/>
        <w:wordWrap/>
        <w:overflowPunct/>
        <w:topLinePunct w:val="0"/>
        <w:autoSpaceDE/>
        <w:autoSpaceDN/>
        <w:bidi w:val="0"/>
        <w:adjustRightInd/>
        <w:snapToGrid/>
        <w:ind w:firstLine="0" w:firstLineChars="0"/>
        <w:textAlignment w:val="auto"/>
        <w:rPr>
          <w:color w:val="auto"/>
        </w:rPr>
      </w:pPr>
      <w:r>
        <w:rPr>
          <w:color w:val="auto"/>
          <w:sz w:val="28"/>
        </w:rPr>
        <mc:AlternateContent>
          <mc:Choice Requires="wps">
            <w:drawing>
              <wp:anchor distT="0" distB="0" distL="114300" distR="114300" simplePos="0" relativeHeight="251661312" behindDoc="0" locked="0" layoutInCell="1" allowOverlap="1">
                <wp:simplePos x="0" y="0"/>
                <wp:positionH relativeFrom="column">
                  <wp:posOffset>107315</wp:posOffset>
                </wp:positionH>
                <wp:positionV relativeFrom="paragraph">
                  <wp:posOffset>2112645</wp:posOffset>
                </wp:positionV>
                <wp:extent cx="1122680" cy="611505"/>
                <wp:effectExtent l="4445" t="4445" r="92075" b="793750"/>
                <wp:wrapNone/>
                <wp:docPr id="38" name="圆角矩形标注 38"/>
                <wp:cNvGraphicFramePr/>
                <a:graphic xmlns:a="http://schemas.openxmlformats.org/drawingml/2006/main">
                  <a:graphicData uri="http://schemas.microsoft.com/office/word/2010/wordprocessingShape">
                    <wps:wsp>
                      <wps:cNvSpPr/>
                      <wps:spPr>
                        <a:xfrm>
                          <a:off x="0" y="0"/>
                          <a:ext cx="1122680" cy="611505"/>
                        </a:xfrm>
                        <a:prstGeom prst="wedgeRoundRectCallout">
                          <a:avLst>
                            <a:gd name="adj1" fmla="val 57635"/>
                            <a:gd name="adj2" fmla="val 178141"/>
                            <a:gd name="adj3" fmla="val 16667"/>
                          </a:avLst>
                        </a:prstGeom>
                        <a:solidFill>
                          <a:schemeClr val="bg2"/>
                        </a:solidFill>
                        <a:ln w="63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ind w:left="0" w:leftChars="0" w:firstLine="0" w:firstLineChars="0"/>
                              <w:jc w:val="both"/>
                              <w:rPr>
                                <w:rFonts w:hint="eastAsia" w:eastAsia="宋体"/>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本项目区位</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8.45pt;margin-top:166.35pt;height:48.15pt;width:88.4pt;z-index:251661312;v-text-anchor:middle;mso-width-relative:page;mso-height-relative:page;" fillcolor="#EEECE1 [3214]" filled="t" stroked="t" coordsize="21600,21600" o:gfxdata="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" adj="23249,49278,14400">
                <v:fill on="t" focussize="0,0"/>
                <v:stroke weight="0.5pt" color="#FF0000 [3204]" joinstyle="round"/>
                <v:imagedata o:title=""/>
                <o:lock v:ext="edit" aspectratio="f"/>
                <v:textbox>
                  <w:txbxContent>
                    <w:p>
                      <w:pPr>
                        <w:ind w:left="0" w:leftChars="0" w:firstLine="0" w:firstLineChars="0"/>
                        <w:jc w:val="both"/>
                        <w:rPr>
                          <w:rFonts w:hint="eastAsia" w:eastAsia="宋体"/>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本项目区位</w:t>
                      </w:r>
                    </w:p>
                  </w:txbxContent>
                </v:textbox>
              </v:shape>
            </w:pict>
          </mc:Fallback>
        </mc:AlternateContent>
      </w:r>
      <w:r>
        <w:rPr>
          <w:color w:val="auto"/>
        </w:rPr>
        <w:drawing>
          <wp:inline distT="0" distB="0" distL="114300" distR="114300">
            <wp:extent cx="4685030" cy="3710940"/>
            <wp:effectExtent l="0" t="0" r="1270" b="381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41"/>
                    <a:stretch>
                      <a:fillRect/>
                    </a:stretch>
                  </pic:blipFill>
                  <pic:spPr>
                    <a:xfrm>
                      <a:off x="0" y="0"/>
                      <a:ext cx="4685030" cy="3710940"/>
                    </a:xfrm>
                    <a:prstGeom prst="rect">
                      <a:avLst/>
                    </a:prstGeom>
                    <a:noFill/>
                    <a:ln>
                      <a:noFill/>
                    </a:ln>
                  </pic:spPr>
                </pic:pic>
              </a:graphicData>
            </a:graphic>
          </wp:inline>
        </w:drawing>
      </w:r>
    </w:p>
    <w:p>
      <w:pPr>
        <w:pStyle w:val="44"/>
        <w:numPr>
          <w:ilvl w:val="8"/>
          <w:numId w:val="9"/>
        </w:numPr>
        <w:rPr>
          <w:rStyle w:val="92"/>
          <w:rFonts w:cs="宋体"/>
          <w:color w:val="auto"/>
        </w:rPr>
      </w:pPr>
      <w:r>
        <w:rPr>
          <w:rFonts w:hint="default" w:cs="宋体" w:asciiTheme="minorEastAsia" w:hAnsiTheme="minorEastAsia" w:eastAsiaTheme="minorEastAsia"/>
          <w:color w:val="auto"/>
          <w:sz w:val="28"/>
          <w:szCs w:val="21"/>
          <w:lang w:val="en-US" w:eastAsia="zh-CN"/>
        </w:rPr>
        <w:t xml:space="preserve"> </w:t>
      </w:r>
      <w:r>
        <w:rPr>
          <w:rFonts w:hint="eastAsia" w:cs="宋体" w:asciiTheme="minorEastAsia" w:hAnsiTheme="minorEastAsia" w:eastAsiaTheme="minorEastAsia"/>
          <w:color w:val="auto"/>
          <w:sz w:val="28"/>
          <w:szCs w:val="21"/>
          <w:lang w:val="en-US" w:eastAsia="zh-CN"/>
        </w:rPr>
        <w:t>小海河排涝片排水模式规划</w:t>
      </w:r>
      <w:r>
        <w:rPr>
          <w:rStyle w:val="92"/>
          <w:rFonts w:hint="eastAsia" w:cs="宋体"/>
          <w:color w:val="auto"/>
          <w:lang w:val="en-US" w:eastAsia="zh-CN"/>
        </w:rPr>
        <w:t>图</w:t>
      </w:r>
    </w:p>
    <w:p>
      <w:pPr>
        <w:ind w:left="0" w:leftChars="0" w:firstLine="0" w:firstLineChars="0"/>
        <w:jc w:val="center"/>
        <w:rPr>
          <w:color w:val="auto"/>
        </w:rPr>
      </w:pPr>
      <w:r>
        <w:rPr>
          <w:color w:val="auto"/>
          <w:sz w:val="28"/>
        </w:rPr>
        <mc:AlternateContent>
          <mc:Choice Requires="wps">
            <w:drawing>
              <wp:anchor distT="0" distB="0" distL="114300" distR="114300" simplePos="0" relativeHeight="251662336" behindDoc="0" locked="0" layoutInCell="1" allowOverlap="1">
                <wp:simplePos x="0" y="0"/>
                <wp:positionH relativeFrom="column">
                  <wp:posOffset>1894205</wp:posOffset>
                </wp:positionH>
                <wp:positionV relativeFrom="paragraph">
                  <wp:posOffset>4095750</wp:posOffset>
                </wp:positionV>
                <wp:extent cx="1122680" cy="611505"/>
                <wp:effectExtent l="4445" t="145415" r="530225" b="5080"/>
                <wp:wrapNone/>
                <wp:docPr id="48" name="圆角矩形标注 48"/>
                <wp:cNvGraphicFramePr/>
                <a:graphic xmlns:a="http://schemas.openxmlformats.org/drawingml/2006/main">
                  <a:graphicData uri="http://schemas.microsoft.com/office/word/2010/wordprocessingShape">
                    <wps:wsp>
                      <wps:cNvSpPr/>
                      <wps:spPr>
                        <a:xfrm>
                          <a:off x="0" y="0"/>
                          <a:ext cx="1122680" cy="611505"/>
                        </a:xfrm>
                        <a:prstGeom prst="wedgeRoundRectCallout">
                          <a:avLst>
                            <a:gd name="adj1" fmla="val 95814"/>
                            <a:gd name="adj2" fmla="val -73052"/>
                            <a:gd name="adj3" fmla="val 16667"/>
                          </a:avLst>
                        </a:prstGeom>
                        <a:solidFill>
                          <a:schemeClr val="bg2"/>
                        </a:solidFill>
                        <a:ln w="63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ind w:left="0" w:leftChars="0" w:firstLine="0" w:firstLineChars="0"/>
                              <w:jc w:val="both"/>
                              <w:rPr>
                                <w:rFonts w:hint="eastAsia" w:eastAsia="宋体"/>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本项目区位</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149.15pt;margin-top:322.5pt;height:48.15pt;width:88.4pt;z-index:251662336;v-text-anchor:middle;mso-width-relative:page;mso-height-relative:page;" fillcolor="#EEECE1 [3214]" filled="t" stroked="t" coordsize="21600,21600" o:gfxdata="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" adj="31496,-4979,14400">
                <v:fill on="t" focussize="0,0"/>
                <v:stroke weight="0.5pt" color="#FF0000 [3204]" joinstyle="round"/>
                <v:imagedata o:title=""/>
                <o:lock v:ext="edit" aspectratio="f"/>
                <v:textbox>
                  <w:txbxContent>
                    <w:p>
                      <w:pPr>
                        <w:ind w:left="0" w:leftChars="0" w:firstLine="0" w:firstLineChars="0"/>
                        <w:jc w:val="both"/>
                        <w:rPr>
                          <w:rFonts w:hint="eastAsia" w:eastAsia="宋体"/>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本项目区位</w:t>
                      </w:r>
                    </w:p>
                  </w:txbxContent>
                </v:textbox>
              </v:shape>
            </w:pict>
          </mc:Fallback>
        </mc:AlternateContent>
      </w:r>
      <w:r>
        <w:rPr>
          <w:color w:val="auto"/>
        </w:rPr>
        <w:drawing>
          <wp:inline distT="0" distB="0" distL="114300" distR="114300">
            <wp:extent cx="4585970" cy="5327650"/>
            <wp:effectExtent l="0" t="0" r="5080" b="6350"/>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42"/>
                    <a:stretch>
                      <a:fillRect/>
                    </a:stretch>
                  </pic:blipFill>
                  <pic:spPr>
                    <a:xfrm>
                      <a:off x="0" y="0"/>
                      <a:ext cx="4585970" cy="5327650"/>
                    </a:xfrm>
                    <a:prstGeom prst="rect">
                      <a:avLst/>
                    </a:prstGeom>
                    <a:noFill/>
                    <a:ln>
                      <a:noFill/>
                    </a:ln>
                  </pic:spPr>
                </pic:pic>
              </a:graphicData>
            </a:graphic>
          </wp:inline>
        </w:drawing>
      </w:r>
    </w:p>
    <w:p>
      <w:pPr>
        <w:pStyle w:val="44"/>
        <w:numPr>
          <w:ilvl w:val="8"/>
          <w:numId w:val="9"/>
        </w:numPr>
        <w:rPr>
          <w:rStyle w:val="92"/>
          <w:rFonts w:cs="宋体"/>
          <w:color w:val="auto"/>
        </w:rPr>
      </w:pPr>
      <w:r>
        <w:rPr>
          <w:rFonts w:hint="default" w:cs="宋体" w:asciiTheme="minorEastAsia" w:hAnsiTheme="minorEastAsia" w:eastAsiaTheme="minorEastAsia"/>
          <w:color w:val="auto"/>
          <w:sz w:val="28"/>
          <w:szCs w:val="21"/>
          <w:lang w:val="en-US" w:eastAsia="zh-CN"/>
        </w:rPr>
        <w:t xml:space="preserve"> </w:t>
      </w:r>
      <w:r>
        <w:rPr>
          <w:rFonts w:hint="eastAsia" w:cs="宋体" w:asciiTheme="minorEastAsia" w:hAnsiTheme="minorEastAsia" w:eastAsiaTheme="minorEastAsia"/>
          <w:color w:val="auto"/>
          <w:sz w:val="28"/>
          <w:szCs w:val="21"/>
          <w:lang w:val="en-US" w:eastAsia="zh-CN"/>
        </w:rPr>
        <w:t>小海河排涝片雨水管网规划</w:t>
      </w:r>
      <w:r>
        <w:rPr>
          <w:rStyle w:val="92"/>
          <w:rFonts w:hint="eastAsia" w:cs="宋体"/>
          <w:color w:val="auto"/>
          <w:lang w:val="en-US" w:eastAsia="zh-CN"/>
        </w:rPr>
        <w:t>图</w:t>
      </w:r>
    </w:p>
    <w:p>
      <w:pPr>
        <w:pStyle w:val="39"/>
        <w:numPr>
          <w:ilvl w:val="1"/>
          <w:numId w:val="9"/>
        </w:numPr>
        <w:rPr>
          <w:rFonts w:cs="宋体"/>
          <w:color w:val="auto"/>
          <w:sz w:val="28"/>
          <w:szCs w:val="28"/>
        </w:rPr>
      </w:pPr>
      <w:bookmarkStart w:id="31" w:name="_Toc7307"/>
      <w:r>
        <w:rPr>
          <w:rFonts w:hint="eastAsia" w:cs="宋体"/>
          <w:color w:val="auto"/>
          <w:sz w:val="28"/>
          <w:szCs w:val="28"/>
          <w:lang w:eastAsia="zh-CN"/>
        </w:rPr>
        <w:t>《广州市从化区中心城区水务专项规划》（污水部分）（</w:t>
      </w:r>
      <w:r>
        <w:rPr>
          <w:rFonts w:hint="eastAsia" w:cs="宋体"/>
          <w:color w:val="auto"/>
          <w:sz w:val="28"/>
          <w:szCs w:val="28"/>
          <w:lang w:val="en-US" w:eastAsia="zh-CN"/>
        </w:rPr>
        <w:t>2018-2035</w:t>
      </w:r>
      <w:r>
        <w:rPr>
          <w:rFonts w:hint="eastAsia" w:cs="宋体"/>
          <w:color w:val="auto"/>
          <w:sz w:val="28"/>
          <w:szCs w:val="28"/>
          <w:lang w:eastAsia="zh-CN"/>
        </w:rPr>
        <w:t>）</w:t>
      </w:r>
      <w:bookmarkEnd w:id="31"/>
    </w:p>
    <w:p>
      <w:pPr>
        <w:ind w:firstLine="565"/>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eastAsia="zh-CN"/>
        </w:rPr>
        <w:t>“中心城区”主要包括街口街全域、城郊街（向阳、北星、东风、城郊、高步、新开）和江埔街（江村、禾仓、南方、新明、海塱等）部分区域。</w:t>
      </w:r>
    </w:p>
    <w:p>
      <w:pPr>
        <w:ind w:left="0" w:leftChars="0" w:firstLine="0" w:firstLineChars="0"/>
        <w:jc w:val="center"/>
        <w:rPr>
          <w:color w:val="auto"/>
        </w:rPr>
      </w:pPr>
      <w:r>
        <w:rPr>
          <w:color w:val="auto"/>
          <w:sz w:val="28"/>
        </w:rPr>
        <mc:AlternateContent>
          <mc:Choice Requires="wps">
            <w:drawing>
              <wp:anchor distT="0" distB="0" distL="114300" distR="114300" simplePos="0" relativeHeight="251663360" behindDoc="0" locked="0" layoutInCell="1" allowOverlap="1">
                <wp:simplePos x="0" y="0"/>
                <wp:positionH relativeFrom="column">
                  <wp:posOffset>2973070</wp:posOffset>
                </wp:positionH>
                <wp:positionV relativeFrom="paragraph">
                  <wp:posOffset>3526155</wp:posOffset>
                </wp:positionV>
                <wp:extent cx="1122680" cy="611505"/>
                <wp:effectExtent l="151130" t="297815" r="21590" b="5080"/>
                <wp:wrapNone/>
                <wp:docPr id="43" name="圆角矩形标注 43"/>
                <wp:cNvGraphicFramePr/>
                <a:graphic xmlns:a="http://schemas.openxmlformats.org/drawingml/2006/main">
                  <a:graphicData uri="http://schemas.microsoft.com/office/word/2010/wordprocessingShape">
                    <wps:wsp>
                      <wps:cNvSpPr/>
                      <wps:spPr>
                        <a:xfrm>
                          <a:off x="12233910" y="6238240"/>
                          <a:ext cx="1122680" cy="611505"/>
                        </a:xfrm>
                        <a:prstGeom prst="wedgeRoundRectCallout">
                          <a:avLst>
                            <a:gd name="adj1" fmla="val -63065"/>
                            <a:gd name="adj2" fmla="val -97975"/>
                            <a:gd name="adj3" fmla="val 16667"/>
                          </a:avLst>
                        </a:prstGeom>
                        <a:solidFill>
                          <a:schemeClr val="bg2"/>
                        </a:solidFill>
                        <a:ln w="63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ind w:left="0" w:leftChars="0" w:firstLine="0" w:firstLineChars="0"/>
                              <w:jc w:val="both"/>
                              <w:rPr>
                                <w:rFonts w:hint="eastAsia" w:eastAsia="宋体"/>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本项目区位</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34.1pt;margin-top:277.65pt;height:48.15pt;width:88.4pt;z-index:251663360;v-text-anchor:middle;mso-width-relative:page;mso-height-relative:page;" fillcolor="#EEECE1 [3214]" filled="t" stroked="t" coordsize="21600,21600" o:gfxdata="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" adj="-2822,-10363,14400">
                <v:fill on="t" focussize="0,0"/>
                <v:stroke weight="0.5pt" color="#FF0000 [3204]" joinstyle="round"/>
                <v:imagedata o:title=""/>
                <o:lock v:ext="edit" aspectratio="f"/>
                <v:textbox>
                  <w:txbxContent>
                    <w:p>
                      <w:pPr>
                        <w:ind w:left="0" w:leftChars="0" w:firstLine="0" w:firstLineChars="0"/>
                        <w:jc w:val="both"/>
                        <w:rPr>
                          <w:rFonts w:hint="eastAsia" w:eastAsia="宋体"/>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本项目区位</w:t>
                      </w:r>
                    </w:p>
                  </w:txbxContent>
                </v:textbox>
              </v:shape>
            </w:pict>
          </mc:Fallback>
        </mc:AlternateContent>
      </w:r>
      <w:r>
        <w:rPr>
          <w:color w:val="auto"/>
        </w:rPr>
        <w:drawing>
          <wp:inline distT="0" distB="0" distL="114300" distR="114300">
            <wp:extent cx="4474210" cy="4363085"/>
            <wp:effectExtent l="0" t="0" r="2540" b="18415"/>
            <wp:docPr id="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9"/>
                    <pic:cNvPicPr>
                      <a:picLocks noChangeAspect="1"/>
                    </pic:cNvPicPr>
                  </pic:nvPicPr>
                  <pic:blipFill>
                    <a:blip r:embed="rId43"/>
                    <a:stretch>
                      <a:fillRect/>
                    </a:stretch>
                  </pic:blipFill>
                  <pic:spPr>
                    <a:xfrm>
                      <a:off x="0" y="0"/>
                      <a:ext cx="4474210" cy="4363085"/>
                    </a:xfrm>
                    <a:prstGeom prst="rect">
                      <a:avLst/>
                    </a:prstGeom>
                    <a:noFill/>
                    <a:ln>
                      <a:noFill/>
                    </a:ln>
                  </pic:spPr>
                </pic:pic>
              </a:graphicData>
            </a:graphic>
          </wp:inline>
        </w:drawing>
      </w:r>
    </w:p>
    <w:p>
      <w:pPr>
        <w:pStyle w:val="44"/>
        <w:numPr>
          <w:ilvl w:val="8"/>
          <w:numId w:val="9"/>
        </w:numPr>
        <w:rPr>
          <w:color w:val="auto"/>
        </w:rPr>
      </w:pPr>
      <w:r>
        <w:rPr>
          <w:rFonts w:hint="eastAsia" w:cs="宋体" w:asciiTheme="minorEastAsia" w:hAnsiTheme="minorEastAsia" w:eastAsiaTheme="minorEastAsia"/>
          <w:color w:val="auto"/>
          <w:sz w:val="28"/>
          <w:szCs w:val="21"/>
          <w:lang w:val="en-US" w:eastAsia="zh-CN"/>
        </w:rPr>
        <w:t>规划中心城区区位（黄色填充）及本项目位置</w:t>
      </w:r>
    </w:p>
    <w:p>
      <w:pPr>
        <w:keepNext w:val="0"/>
        <w:keepLines w:val="0"/>
        <w:pageBreakBefore w:val="0"/>
        <w:widowControl w:val="0"/>
        <w:kinsoku/>
        <w:wordWrap/>
        <w:overflowPunct/>
        <w:topLinePunct w:val="0"/>
        <w:autoSpaceDE/>
        <w:autoSpaceDN/>
        <w:bidi w:val="0"/>
        <w:adjustRightInd/>
        <w:snapToGrid/>
        <w:ind w:firstLine="0" w:firstLineChars="0"/>
        <w:textAlignment w:val="auto"/>
        <w:rPr>
          <w:color w:val="auto"/>
        </w:rPr>
      </w:pPr>
      <w:r>
        <w:rPr>
          <w:color w:val="auto"/>
          <w:sz w:val="28"/>
        </w:rPr>
        <mc:AlternateContent>
          <mc:Choice Requires="wps">
            <w:drawing>
              <wp:anchor distT="0" distB="0" distL="114300" distR="114300" simplePos="0" relativeHeight="251668480" behindDoc="0" locked="0" layoutInCell="1" allowOverlap="1">
                <wp:simplePos x="0" y="0"/>
                <wp:positionH relativeFrom="column">
                  <wp:posOffset>4359910</wp:posOffset>
                </wp:positionH>
                <wp:positionV relativeFrom="paragraph">
                  <wp:posOffset>4989830</wp:posOffset>
                </wp:positionV>
                <wp:extent cx="1122680" cy="611505"/>
                <wp:effectExtent l="522605" t="50165" r="12065" b="5080"/>
                <wp:wrapNone/>
                <wp:docPr id="13" name="圆角矩形标注 13"/>
                <wp:cNvGraphicFramePr/>
                <a:graphic xmlns:a="http://schemas.openxmlformats.org/drawingml/2006/main">
                  <a:graphicData uri="http://schemas.microsoft.com/office/word/2010/wordprocessingShape">
                    <wps:wsp>
                      <wps:cNvSpPr/>
                      <wps:spPr>
                        <a:xfrm>
                          <a:off x="0" y="0"/>
                          <a:ext cx="1122680" cy="611505"/>
                        </a:xfrm>
                        <a:prstGeom prst="wedgeRoundRectCallout">
                          <a:avLst>
                            <a:gd name="adj1" fmla="val -96153"/>
                            <a:gd name="adj2" fmla="val -57476"/>
                            <a:gd name="adj3" fmla="val 16667"/>
                          </a:avLst>
                        </a:prstGeom>
                        <a:solidFill>
                          <a:schemeClr val="bg2"/>
                        </a:solidFill>
                        <a:ln w="63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ind w:left="0" w:leftChars="0" w:firstLine="0" w:firstLineChars="0"/>
                              <w:jc w:val="both"/>
                              <w:rPr>
                                <w:rFonts w:hint="eastAsia" w:eastAsia="宋体"/>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本项目区位</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343.3pt;margin-top:392.9pt;height:48.15pt;width:88.4pt;z-index:251668480;v-text-anchor:middle;mso-width-relative:page;mso-height-relative:page;" fillcolor="#EEECE1 [3214]" filled="t" stroked="t" coordsize="21600,21600" o:gfxdata="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BxN+GdkAAAALAQAA&#10;DwAAAAAAAAABACAAAAAiAAAAZHJzL2Rvd25yZXYueG1sUEsBAhQAFAAAAAgAh07iQI65aoXDAgAA&#10;fQUAAA4AAAAAAAAAAQAgAAAAKAEAAGRycy9lMm9Eb2MueG1sUEsFBgAAAAAGAAYAWQEAAF0GAAAA&#10;AA==&#10;" adj="-9969,-1615,14400">
                <v:fill on="t" focussize="0,0"/>
                <v:stroke weight="0.5pt" color="#FF0000 [3204]" joinstyle="round"/>
                <v:imagedata o:title=""/>
                <o:lock v:ext="edit" aspectratio="f"/>
                <v:textbox>
                  <w:txbxContent>
                    <w:p>
                      <w:pPr>
                        <w:ind w:left="0" w:leftChars="0" w:firstLine="0" w:firstLineChars="0"/>
                        <w:jc w:val="both"/>
                        <w:rPr>
                          <w:rFonts w:hint="eastAsia" w:eastAsia="宋体"/>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本项目区位</w:t>
                      </w:r>
                    </w:p>
                  </w:txbxContent>
                </v:textbox>
              </v:shape>
            </w:pict>
          </mc:Fallback>
        </mc:AlternateContent>
      </w:r>
      <w:r>
        <w:rPr>
          <w:color w:val="auto"/>
        </w:rPr>
        <w:drawing>
          <wp:inline distT="0" distB="0" distL="114300" distR="114300">
            <wp:extent cx="5535930" cy="5420360"/>
            <wp:effectExtent l="0" t="0" r="7620" b="8890"/>
            <wp:docPr id="6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6"/>
                    <pic:cNvPicPr>
                      <a:picLocks noChangeAspect="1"/>
                    </pic:cNvPicPr>
                  </pic:nvPicPr>
                  <pic:blipFill>
                    <a:blip r:embed="rId44"/>
                    <a:stretch>
                      <a:fillRect/>
                    </a:stretch>
                  </pic:blipFill>
                  <pic:spPr>
                    <a:xfrm>
                      <a:off x="0" y="0"/>
                      <a:ext cx="5535930" cy="5420360"/>
                    </a:xfrm>
                    <a:prstGeom prst="rect">
                      <a:avLst/>
                    </a:prstGeom>
                    <a:noFill/>
                    <a:ln>
                      <a:noFill/>
                    </a:ln>
                  </pic:spPr>
                </pic:pic>
              </a:graphicData>
            </a:graphic>
          </wp:inline>
        </w:drawing>
      </w:r>
    </w:p>
    <w:p>
      <w:pPr>
        <w:pStyle w:val="44"/>
        <w:numPr>
          <w:ilvl w:val="8"/>
          <w:numId w:val="9"/>
        </w:numPr>
        <w:rPr>
          <w:color w:val="auto"/>
        </w:rPr>
      </w:pPr>
      <w:r>
        <w:rPr>
          <w:rFonts w:hint="eastAsia" w:cs="宋体" w:asciiTheme="minorEastAsia" w:hAnsiTheme="minorEastAsia" w:eastAsiaTheme="minorEastAsia"/>
          <w:color w:val="auto"/>
          <w:sz w:val="28"/>
          <w:szCs w:val="21"/>
          <w:lang w:val="en-US" w:eastAsia="zh-CN"/>
        </w:rPr>
        <w:t>规划中心城区土地利用规划</w:t>
      </w:r>
    </w:p>
    <w:p>
      <w:pPr>
        <w:pStyle w:val="40"/>
        <w:numPr>
          <w:ilvl w:val="2"/>
          <w:numId w:val="9"/>
        </w:numPr>
        <w:bidi w:val="0"/>
        <w:ind w:left="0" w:leftChars="0" w:firstLine="0" w:firstLineChars="0"/>
        <w:rPr>
          <w:color w:val="auto"/>
        </w:rPr>
      </w:pPr>
      <w:r>
        <w:rPr>
          <w:rFonts w:hint="eastAsia"/>
          <w:color w:val="auto"/>
          <w:lang w:eastAsia="zh-CN"/>
        </w:rPr>
        <w:t>规划目标</w:t>
      </w:r>
    </w:p>
    <w:p>
      <w:pPr>
        <w:rPr>
          <w:rFonts w:hint="eastAsia" w:ascii="宋体" w:hAnsi="宋体" w:eastAsia="宋体" w:cs="宋体"/>
          <w:color w:val="auto"/>
          <w:sz w:val="28"/>
          <w:lang w:val="en-US" w:eastAsia="zh-CN"/>
        </w:rPr>
      </w:pPr>
      <w:r>
        <w:rPr>
          <w:rFonts w:hint="eastAsia" w:ascii="宋体" w:hAnsi="宋体" w:eastAsia="宋体" w:cs="宋体"/>
          <w:color w:val="auto"/>
          <w:sz w:val="28"/>
          <w:lang w:val="en-US" w:eastAsia="zh-CN"/>
        </w:rPr>
        <w:t>建设从化区中心城区污水收集系统工程，有效地减少污水排入内河涌的污染物，缓解河涌水污染状况，逐步提高污水收集系统的污水收集率，为从化区中心城区的污水提供可靠出路，从而改善从化区中心城区水环境状况及其居民的居住环境，提高人民健康生活的水平；保护好城市饮用水水源的水质。达到可持续发展的战略目标。</w:t>
      </w:r>
    </w:p>
    <w:p>
      <w:pPr>
        <w:pStyle w:val="40"/>
        <w:numPr>
          <w:ilvl w:val="2"/>
          <w:numId w:val="9"/>
        </w:numPr>
        <w:bidi w:val="0"/>
        <w:ind w:left="0" w:leftChars="0" w:firstLine="0" w:firstLineChars="0"/>
        <w:rPr>
          <w:color w:val="auto"/>
        </w:rPr>
      </w:pPr>
      <w:r>
        <w:rPr>
          <w:rFonts w:hint="eastAsia"/>
          <w:color w:val="auto"/>
          <w:lang w:eastAsia="zh-CN"/>
        </w:rPr>
        <w:t>Y523片区污水管网规划</w:t>
      </w:r>
    </w:p>
    <w:p>
      <w:pPr>
        <w:rPr>
          <w:rFonts w:hint="eastAsia" w:ascii="宋体" w:hAnsi="宋体" w:cs="宋体"/>
          <w:color w:val="auto"/>
          <w:sz w:val="28"/>
          <w:lang w:val="en-US" w:eastAsia="zh-CN"/>
        </w:rPr>
      </w:pPr>
      <w:r>
        <w:rPr>
          <w:rFonts w:hint="eastAsia" w:ascii="宋体" w:hAnsi="宋体" w:eastAsia="宋体" w:cs="宋体"/>
          <w:color w:val="auto"/>
          <w:sz w:val="28"/>
          <w:lang w:val="en-US" w:eastAsia="zh-CN"/>
        </w:rPr>
        <w:t>《广州市从化区中心城区水务规划-污水部分》（2017-2035）</w:t>
      </w:r>
      <w:r>
        <w:rPr>
          <w:rFonts w:hint="eastAsia" w:ascii="宋体" w:hAnsi="宋体" w:cs="宋体"/>
          <w:color w:val="auto"/>
          <w:sz w:val="28"/>
          <w:lang w:val="en-US" w:eastAsia="zh-CN"/>
        </w:rPr>
        <w:t>对近期建设市政污水管网规划总图如下：</w:t>
      </w:r>
    </w:p>
    <w:p>
      <w:pPr>
        <w:ind w:left="0" w:leftChars="0" w:firstLine="0" w:firstLineChars="0"/>
        <w:jc w:val="center"/>
        <w:rPr>
          <w:color w:val="auto"/>
        </w:rPr>
      </w:pPr>
      <w:r>
        <w:rPr>
          <w:color w:val="auto"/>
          <w:sz w:val="28"/>
        </w:rPr>
        <mc:AlternateContent>
          <mc:Choice Requires="wps">
            <w:drawing>
              <wp:anchor distT="0" distB="0" distL="114300" distR="114300" simplePos="0" relativeHeight="251664384" behindDoc="0" locked="0" layoutInCell="1" allowOverlap="1">
                <wp:simplePos x="0" y="0"/>
                <wp:positionH relativeFrom="column">
                  <wp:posOffset>2868295</wp:posOffset>
                </wp:positionH>
                <wp:positionV relativeFrom="paragraph">
                  <wp:posOffset>5789930</wp:posOffset>
                </wp:positionV>
                <wp:extent cx="1122680" cy="611505"/>
                <wp:effectExtent l="4445" t="678815" r="15875" b="5080"/>
                <wp:wrapNone/>
                <wp:docPr id="47" name="圆角矩形标注 47"/>
                <wp:cNvGraphicFramePr/>
                <a:graphic xmlns:a="http://schemas.openxmlformats.org/drawingml/2006/main">
                  <a:graphicData uri="http://schemas.microsoft.com/office/word/2010/wordprocessingShape">
                    <wps:wsp>
                      <wps:cNvSpPr/>
                      <wps:spPr>
                        <a:xfrm>
                          <a:off x="0" y="0"/>
                          <a:ext cx="1122680" cy="611505"/>
                        </a:xfrm>
                        <a:prstGeom prst="wedgeRoundRectCallout">
                          <a:avLst>
                            <a:gd name="adj1" fmla="val 45531"/>
                            <a:gd name="adj2" fmla="val -160280"/>
                            <a:gd name="adj3" fmla="val 16667"/>
                          </a:avLst>
                        </a:prstGeom>
                        <a:solidFill>
                          <a:schemeClr val="bg2"/>
                        </a:solidFill>
                        <a:ln w="63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ind w:left="0" w:leftChars="0" w:firstLine="0" w:firstLineChars="0"/>
                              <w:jc w:val="both"/>
                              <w:rPr>
                                <w:rFonts w:hint="eastAsia" w:eastAsia="宋体"/>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本项目区位</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25.85pt;margin-top:455.9pt;height:48.15pt;width:88.4pt;z-index:251664384;v-text-anchor:middle;mso-width-relative:page;mso-height-relative:page;" fillcolor="#EEECE1 [3214]" filled="t" stroked="t" coordsize="21600,21600" o:gfxdata="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" adj="20635,-23820,14400">
                <v:fill on="t" focussize="0,0"/>
                <v:stroke weight="0.5pt" color="#FF0000 [3204]" joinstyle="round"/>
                <v:imagedata o:title=""/>
                <o:lock v:ext="edit" aspectratio="f"/>
                <v:textbox>
                  <w:txbxContent>
                    <w:p>
                      <w:pPr>
                        <w:ind w:left="0" w:leftChars="0" w:firstLine="0" w:firstLineChars="0"/>
                        <w:jc w:val="both"/>
                        <w:rPr>
                          <w:rFonts w:hint="eastAsia" w:eastAsia="宋体"/>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本项目区位</w:t>
                      </w:r>
                    </w:p>
                  </w:txbxContent>
                </v:textbox>
              </v:shape>
            </w:pict>
          </mc:Fallback>
        </mc:AlternateContent>
      </w:r>
      <w:r>
        <w:rPr>
          <w:color w:val="auto"/>
        </w:rPr>
        <w:drawing>
          <wp:inline distT="0" distB="0" distL="114300" distR="114300">
            <wp:extent cx="4829175" cy="6449060"/>
            <wp:effectExtent l="0" t="0" r="9525" b="8890"/>
            <wp:docPr id="4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0"/>
                    <pic:cNvPicPr>
                      <a:picLocks noChangeAspect="1"/>
                    </pic:cNvPicPr>
                  </pic:nvPicPr>
                  <pic:blipFill>
                    <a:blip r:embed="rId45"/>
                    <a:srcRect b="5132"/>
                    <a:stretch>
                      <a:fillRect/>
                    </a:stretch>
                  </pic:blipFill>
                  <pic:spPr>
                    <a:xfrm>
                      <a:off x="0" y="0"/>
                      <a:ext cx="4829175" cy="6449060"/>
                    </a:xfrm>
                    <a:prstGeom prst="rect">
                      <a:avLst/>
                    </a:prstGeom>
                    <a:noFill/>
                    <a:ln>
                      <a:noFill/>
                    </a:ln>
                  </pic:spPr>
                </pic:pic>
              </a:graphicData>
            </a:graphic>
          </wp:inline>
        </w:drawing>
      </w:r>
    </w:p>
    <w:p>
      <w:pPr>
        <w:pStyle w:val="44"/>
        <w:numPr>
          <w:ilvl w:val="8"/>
          <w:numId w:val="9"/>
        </w:numPr>
        <w:bidi w:val="0"/>
        <w:rPr>
          <w:rFonts w:hint="default"/>
          <w:color w:val="auto"/>
          <w:lang w:val="en-US" w:eastAsia="zh-CN"/>
        </w:rPr>
      </w:pPr>
      <w:r>
        <w:rPr>
          <w:rFonts w:hint="eastAsia"/>
          <w:color w:val="auto"/>
          <w:sz w:val="28"/>
          <w:szCs w:val="24"/>
          <w:lang w:val="en-US" w:eastAsia="zh-CN"/>
        </w:rPr>
        <w:t>近期市政污水主管建设规划图</w:t>
      </w:r>
    </w:p>
    <w:p>
      <w:pPr>
        <w:rPr>
          <w:color w:val="auto"/>
        </w:rPr>
      </w:pPr>
      <w:r>
        <w:rPr>
          <w:rFonts w:hint="eastAsia" w:ascii="宋体" w:hAnsi="宋体" w:cs="宋体"/>
          <w:color w:val="auto"/>
          <w:sz w:val="28"/>
          <w:lang w:val="en-US" w:eastAsia="zh-CN"/>
        </w:rPr>
        <w:t>其中，</w:t>
      </w:r>
      <w:r>
        <w:rPr>
          <w:rFonts w:hint="eastAsia" w:ascii="宋体" w:hAnsi="宋体" w:eastAsia="宋体" w:cs="宋体"/>
          <w:color w:val="auto"/>
          <w:sz w:val="28"/>
          <w:lang w:val="en-US" w:eastAsia="zh-CN"/>
        </w:rPr>
        <w:t>Y523片区的相关规划</w:t>
      </w:r>
      <w:r>
        <w:rPr>
          <w:rFonts w:hint="eastAsia" w:ascii="宋体" w:hAnsi="宋体" w:cs="宋体"/>
          <w:color w:val="auto"/>
          <w:sz w:val="28"/>
          <w:lang w:val="en-US" w:eastAsia="zh-CN"/>
        </w:rPr>
        <w:t>如下</w:t>
      </w:r>
      <w:r>
        <w:rPr>
          <w:rFonts w:hint="eastAsia" w:cs="Times New Roman" w:asciiTheme="minorEastAsia" w:hAnsiTheme="minorEastAsia" w:eastAsiaTheme="minorEastAsia"/>
          <w:color w:val="auto"/>
          <w:sz w:val="28"/>
          <w:szCs w:val="21"/>
          <w:lang w:eastAsia="zh-CN"/>
        </w:rPr>
        <w:t>：起点为罗洞小学附近，</w:t>
      </w:r>
      <w:r>
        <w:rPr>
          <w:rFonts w:hint="eastAsia" w:cs="Times New Roman" w:asciiTheme="minorEastAsia" w:hAnsiTheme="minorEastAsia" w:eastAsiaTheme="minorEastAsia"/>
          <w:color w:val="auto"/>
          <w:sz w:val="28"/>
          <w:szCs w:val="21"/>
          <w:lang w:val="en-US" w:eastAsia="zh-CN"/>
        </w:rPr>
        <w:t>沿Y523新建</w:t>
      </w:r>
      <w:r>
        <w:rPr>
          <w:rFonts w:cs="Times New Roman" w:asciiTheme="minorEastAsia" w:hAnsiTheme="minorEastAsia" w:eastAsiaTheme="minorEastAsia"/>
          <w:color w:val="auto"/>
          <w:sz w:val="28"/>
          <w:szCs w:val="21"/>
        </w:rPr>
        <w:t>一条d</w:t>
      </w:r>
      <w:r>
        <w:rPr>
          <w:rFonts w:hint="eastAsia" w:cs="Times New Roman" w:asciiTheme="minorEastAsia" w:hAnsiTheme="minorEastAsia" w:eastAsiaTheme="minorEastAsia"/>
          <w:color w:val="auto"/>
          <w:sz w:val="28"/>
          <w:szCs w:val="21"/>
          <w:lang w:val="en-US" w:eastAsia="zh-CN"/>
        </w:rPr>
        <w:t>50</w:t>
      </w:r>
      <w:r>
        <w:rPr>
          <w:rFonts w:cs="Times New Roman" w:asciiTheme="minorEastAsia" w:hAnsiTheme="minorEastAsia" w:eastAsiaTheme="minorEastAsia"/>
          <w:color w:val="auto"/>
          <w:sz w:val="28"/>
          <w:szCs w:val="21"/>
        </w:rPr>
        <w:t>0</w:t>
      </w:r>
      <w:r>
        <w:rPr>
          <w:rFonts w:hint="eastAsia" w:cs="Times New Roman" w:asciiTheme="minorEastAsia" w:hAnsiTheme="minorEastAsia" w:eastAsiaTheme="minorEastAsia"/>
          <w:color w:val="auto"/>
          <w:sz w:val="28"/>
          <w:szCs w:val="21"/>
          <w:lang w:eastAsia="zh-CN"/>
        </w:rPr>
        <w:t>的</w:t>
      </w:r>
      <w:r>
        <w:rPr>
          <w:rFonts w:cs="Times New Roman" w:asciiTheme="minorEastAsia" w:hAnsiTheme="minorEastAsia" w:eastAsiaTheme="minorEastAsia"/>
          <w:color w:val="auto"/>
          <w:sz w:val="28"/>
          <w:szCs w:val="21"/>
        </w:rPr>
        <w:t>污水主管</w:t>
      </w:r>
      <w:r>
        <w:rPr>
          <w:rFonts w:hint="eastAsia" w:cs="Times New Roman" w:asciiTheme="minorEastAsia" w:hAnsiTheme="minorEastAsia" w:eastAsiaTheme="minorEastAsia"/>
          <w:color w:val="auto"/>
          <w:sz w:val="28"/>
          <w:szCs w:val="21"/>
          <w:lang w:eastAsia="zh-CN"/>
        </w:rPr>
        <w:t>，</w:t>
      </w:r>
      <w:r>
        <w:rPr>
          <w:rFonts w:cs="Times New Roman" w:asciiTheme="minorEastAsia" w:hAnsiTheme="minorEastAsia" w:eastAsiaTheme="minorEastAsia"/>
          <w:color w:val="auto"/>
          <w:sz w:val="28"/>
          <w:szCs w:val="21"/>
        </w:rPr>
        <w:t>自</w:t>
      </w:r>
      <w:r>
        <w:rPr>
          <w:rFonts w:hint="eastAsia" w:cs="Times New Roman" w:asciiTheme="minorEastAsia" w:hAnsiTheme="minorEastAsia" w:eastAsiaTheme="minorEastAsia"/>
          <w:color w:val="auto"/>
          <w:sz w:val="28"/>
          <w:szCs w:val="21"/>
          <w:lang w:eastAsia="zh-CN"/>
        </w:rPr>
        <w:t>南</w:t>
      </w:r>
      <w:r>
        <w:rPr>
          <w:rFonts w:cs="Times New Roman" w:asciiTheme="minorEastAsia" w:hAnsiTheme="minorEastAsia" w:eastAsiaTheme="minorEastAsia"/>
          <w:color w:val="auto"/>
          <w:sz w:val="28"/>
          <w:szCs w:val="21"/>
        </w:rPr>
        <w:t>向</w:t>
      </w:r>
      <w:r>
        <w:rPr>
          <w:rFonts w:hint="eastAsia" w:cs="Times New Roman" w:asciiTheme="minorEastAsia" w:hAnsiTheme="minorEastAsia" w:eastAsiaTheme="minorEastAsia"/>
          <w:color w:val="auto"/>
          <w:sz w:val="28"/>
          <w:szCs w:val="21"/>
          <w:lang w:eastAsia="zh-CN"/>
        </w:rPr>
        <w:t>北收纳沿线污水，终点为</w:t>
      </w:r>
      <w:r>
        <w:rPr>
          <w:rFonts w:hint="eastAsia" w:cs="Times New Roman" w:asciiTheme="minorEastAsia" w:hAnsiTheme="minorEastAsia" w:eastAsiaTheme="minorEastAsia"/>
          <w:color w:val="auto"/>
          <w:sz w:val="28"/>
          <w:szCs w:val="21"/>
          <w:lang w:val="en-US" w:eastAsia="zh-CN"/>
        </w:rPr>
        <w:t>Y523</w:t>
      </w:r>
      <w:r>
        <w:rPr>
          <w:rFonts w:hint="eastAsia" w:cs="Times New Roman" w:asciiTheme="minorEastAsia" w:hAnsiTheme="minorEastAsia" w:eastAsiaTheme="minorEastAsia"/>
          <w:color w:val="auto"/>
          <w:sz w:val="28"/>
          <w:szCs w:val="21"/>
          <w:lang w:eastAsia="zh-CN"/>
        </w:rPr>
        <w:t>与</w:t>
      </w:r>
      <w:r>
        <w:rPr>
          <w:rFonts w:hint="eastAsia" w:cs="Times New Roman" w:asciiTheme="minorEastAsia" w:hAnsiTheme="minorEastAsia" w:eastAsiaTheme="minorEastAsia"/>
          <w:color w:val="auto"/>
          <w:sz w:val="28"/>
          <w:szCs w:val="21"/>
          <w:lang w:val="en-US" w:eastAsia="zh-CN"/>
        </w:rPr>
        <w:t>G105国道交界处南侧的</w:t>
      </w:r>
      <w:r>
        <w:rPr>
          <w:rFonts w:cs="Times New Roman" w:asciiTheme="minorEastAsia" w:hAnsiTheme="minorEastAsia" w:eastAsiaTheme="minorEastAsia"/>
          <w:color w:val="auto"/>
          <w:sz w:val="28"/>
          <w:szCs w:val="21"/>
        </w:rPr>
        <w:t>现状</w:t>
      </w:r>
      <w:r>
        <w:rPr>
          <w:rFonts w:hint="eastAsia" w:cs="Times New Roman" w:asciiTheme="minorEastAsia" w:hAnsiTheme="minorEastAsia" w:eastAsiaTheme="minorEastAsia"/>
          <w:color w:val="auto"/>
          <w:sz w:val="28"/>
          <w:szCs w:val="21"/>
          <w:lang w:eastAsia="zh-CN"/>
        </w:rPr>
        <w:t>污水检查井。将</w:t>
      </w:r>
      <w:r>
        <w:rPr>
          <w:rFonts w:hint="eastAsia" w:cs="Times New Roman" w:asciiTheme="minorEastAsia" w:hAnsiTheme="minorEastAsia" w:eastAsiaTheme="minorEastAsia"/>
          <w:color w:val="auto"/>
          <w:sz w:val="28"/>
          <w:szCs w:val="21"/>
          <w:lang w:val="en-US" w:eastAsia="zh-CN"/>
        </w:rPr>
        <w:t>Y523片区污水</w:t>
      </w:r>
      <w:r>
        <w:rPr>
          <w:rFonts w:cs="Times New Roman" w:asciiTheme="minorEastAsia" w:hAnsiTheme="minorEastAsia" w:eastAsiaTheme="minorEastAsia"/>
          <w:color w:val="auto"/>
          <w:sz w:val="28"/>
          <w:szCs w:val="21"/>
        </w:rPr>
        <w:t>排至</w:t>
      </w:r>
      <w:r>
        <w:rPr>
          <w:rFonts w:hint="eastAsia" w:cs="Times New Roman" w:asciiTheme="minorEastAsia" w:hAnsiTheme="minorEastAsia" w:eastAsiaTheme="minorEastAsia"/>
          <w:color w:val="auto"/>
          <w:sz w:val="28"/>
          <w:szCs w:val="21"/>
          <w:lang w:val="en-US" w:eastAsia="zh-CN"/>
        </w:rPr>
        <w:t>G105现状d1000污水主干管中，输送至</w:t>
      </w:r>
      <w:r>
        <w:rPr>
          <w:rFonts w:hint="eastAsia" w:cs="Times New Roman" w:asciiTheme="minorEastAsia" w:hAnsiTheme="minorEastAsia" w:eastAsiaTheme="minorEastAsia"/>
          <w:color w:val="auto"/>
          <w:sz w:val="28"/>
          <w:szCs w:val="21"/>
          <w:lang w:eastAsia="zh-CN"/>
        </w:rPr>
        <w:t>中心城区</w:t>
      </w:r>
      <w:r>
        <w:rPr>
          <w:rFonts w:cs="Times New Roman" w:asciiTheme="minorEastAsia" w:hAnsiTheme="minorEastAsia" w:eastAsiaTheme="minorEastAsia"/>
          <w:color w:val="auto"/>
          <w:sz w:val="28"/>
          <w:szCs w:val="21"/>
        </w:rPr>
        <w:t>污水处理厂</w:t>
      </w:r>
      <w:r>
        <w:rPr>
          <w:rFonts w:hint="eastAsia" w:cs="Times New Roman" w:asciiTheme="minorEastAsia" w:hAnsiTheme="minorEastAsia" w:eastAsiaTheme="minorEastAsia"/>
          <w:color w:val="auto"/>
          <w:sz w:val="28"/>
          <w:szCs w:val="21"/>
          <w:lang w:eastAsia="zh-CN"/>
        </w:rPr>
        <w:t>进行处理</w:t>
      </w:r>
      <w:r>
        <w:rPr>
          <w:rFonts w:cs="Times New Roman" w:asciiTheme="minorEastAsia" w:hAnsiTheme="minorEastAsia" w:eastAsiaTheme="minorEastAsia"/>
          <w:color w:val="auto"/>
          <w:sz w:val="28"/>
          <w:szCs w:val="21"/>
        </w:rPr>
        <w:t>。</w:t>
      </w:r>
    </w:p>
    <w:p>
      <w:pPr>
        <w:numPr>
          <w:ilvl w:val="0"/>
          <w:numId w:val="0"/>
        </w:numPr>
        <w:jc w:val="center"/>
        <w:rPr>
          <w:color w:val="auto"/>
        </w:rPr>
      </w:pPr>
      <w:r>
        <w:rPr>
          <w:color w:val="auto"/>
        </w:rPr>
        <w:drawing>
          <wp:inline distT="0" distB="0" distL="114300" distR="114300">
            <wp:extent cx="4319905" cy="3799840"/>
            <wp:effectExtent l="0" t="0" r="4445" b="10160"/>
            <wp:docPr id="8" name="图片 3"/>
            <wp:cNvGraphicFramePr/>
            <a:graphic xmlns:a="http://schemas.openxmlformats.org/drawingml/2006/main">
              <a:graphicData uri="http://schemas.openxmlformats.org/drawingml/2006/picture">
                <pic:pic xmlns:pic="http://schemas.openxmlformats.org/drawingml/2006/picture">
                  <pic:nvPicPr>
                    <pic:cNvPr id="8" name="图片 3"/>
                    <pic:cNvPicPr/>
                  </pic:nvPicPr>
                  <pic:blipFill>
                    <a:blip r:embed="rId46"/>
                    <a:stretch>
                      <a:fillRect/>
                    </a:stretch>
                  </pic:blipFill>
                  <pic:spPr>
                    <a:xfrm>
                      <a:off x="0" y="0"/>
                      <a:ext cx="4319905" cy="3799840"/>
                    </a:xfrm>
                    <a:prstGeom prst="rect">
                      <a:avLst/>
                    </a:prstGeom>
                    <a:noFill/>
                    <a:ln>
                      <a:noFill/>
                    </a:ln>
                  </pic:spPr>
                </pic:pic>
              </a:graphicData>
            </a:graphic>
          </wp:inline>
        </w:drawing>
      </w:r>
    </w:p>
    <w:p>
      <w:pPr>
        <w:pStyle w:val="44"/>
        <w:numPr>
          <w:ilvl w:val="8"/>
          <w:numId w:val="9"/>
        </w:numPr>
        <w:bidi w:val="0"/>
        <w:rPr>
          <w:rFonts w:hint="default"/>
          <w:color w:val="auto"/>
          <w:lang w:val="en-US" w:eastAsia="zh-CN"/>
        </w:rPr>
      </w:pPr>
      <w:r>
        <w:rPr>
          <w:rFonts w:hint="eastAsia"/>
          <w:color w:val="auto"/>
          <w:sz w:val="28"/>
          <w:szCs w:val="24"/>
          <w:lang w:val="en-US" w:eastAsia="zh-CN"/>
        </w:rPr>
        <w:t>Y523片区污水管网规划图</w:t>
      </w:r>
    </w:p>
    <w:p>
      <w:pPr>
        <w:pStyle w:val="40"/>
        <w:numPr>
          <w:ilvl w:val="2"/>
          <w:numId w:val="9"/>
        </w:numPr>
        <w:bidi w:val="0"/>
        <w:ind w:left="0" w:leftChars="0" w:firstLine="0" w:firstLineChars="0"/>
        <w:rPr>
          <w:color w:val="auto"/>
        </w:rPr>
      </w:pPr>
      <w:r>
        <w:rPr>
          <w:color w:val="auto"/>
        </w:rPr>
        <w:t>污水管网布置原则</w:t>
      </w:r>
    </w:p>
    <w:p>
      <w:pPr>
        <w:ind w:firstLine="567"/>
        <w:rPr>
          <w:rFonts w:cs="宋体"/>
          <w:b/>
          <w:bCs/>
          <w:color w:val="auto"/>
          <w:sz w:val="28"/>
          <w:szCs w:val="21"/>
        </w:rPr>
      </w:pPr>
      <w:r>
        <w:rPr>
          <w:rFonts w:cs="宋体"/>
          <w:b/>
          <w:bCs/>
          <w:color w:val="auto"/>
          <w:sz w:val="28"/>
          <w:szCs w:val="21"/>
        </w:rPr>
        <w:t>1、管网敷设原则</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（1）在污水主管网道敷设的</w:t>
      </w:r>
      <w:r>
        <w:rPr>
          <w:rFonts w:hint="eastAsia" w:cs="宋体" w:asciiTheme="minorEastAsia" w:hAnsiTheme="minorEastAsia" w:eastAsiaTheme="minorEastAsia"/>
          <w:color w:val="auto"/>
          <w:sz w:val="28"/>
          <w:szCs w:val="21"/>
          <w:lang w:eastAsia="zh-CN"/>
        </w:rPr>
        <w:t>道</w:t>
      </w:r>
      <w:r>
        <w:rPr>
          <w:rFonts w:cs="宋体" w:asciiTheme="minorEastAsia" w:hAnsiTheme="minorEastAsia" w:eastAsiaTheme="minorEastAsia"/>
          <w:color w:val="auto"/>
          <w:sz w:val="28"/>
          <w:szCs w:val="21"/>
        </w:rPr>
        <w:t>路两旁需合理设置污水次管网和排水户接户管网接驳井，便于周边污水收集至污水主管。</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（2）管道敷设时应符合《公路安全保护条例》的相关规定。</w:t>
      </w:r>
    </w:p>
    <w:p>
      <w:pPr>
        <w:ind w:firstLine="565"/>
        <w:rPr>
          <w:rFonts w:hint="eastAsia" w:cs="宋体" w:asciiTheme="minorEastAsia" w:hAnsiTheme="minorEastAsia" w:eastAsiaTheme="minorEastAsia"/>
          <w:color w:val="auto"/>
          <w:sz w:val="28"/>
          <w:szCs w:val="21"/>
          <w:lang w:eastAsia="zh-CN"/>
        </w:rPr>
      </w:pPr>
      <w:r>
        <w:rPr>
          <w:rFonts w:cs="宋体" w:asciiTheme="minorEastAsia" w:hAnsiTheme="minorEastAsia" w:eastAsiaTheme="minorEastAsia"/>
          <w:color w:val="auto"/>
          <w:sz w:val="28"/>
          <w:szCs w:val="21"/>
        </w:rPr>
        <w:t>（3）尽量减少与河流、山谷、铁路和各种地下构筑物的交叉。敷设污水干管要考虑地址条件</w:t>
      </w:r>
      <w:r>
        <w:rPr>
          <w:rFonts w:hint="eastAsia" w:cs="宋体" w:asciiTheme="minorEastAsia" w:hAnsiTheme="minorEastAsia" w:eastAsiaTheme="minorEastAsia"/>
          <w:color w:val="auto"/>
          <w:sz w:val="28"/>
          <w:szCs w:val="21"/>
          <w:lang w:eastAsia="zh-CN"/>
        </w:rPr>
        <w:t>。</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（4）污水管通常设在人行道、绿化带或慢车道下。</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（5）管线</w:t>
      </w:r>
      <w:r>
        <w:rPr>
          <w:rFonts w:cs="宋体" w:asciiTheme="minorEastAsia" w:hAnsiTheme="minorEastAsia" w:eastAsiaTheme="minorEastAsia"/>
          <w:color w:val="auto"/>
          <w:sz w:val="28"/>
          <w:szCs w:val="21"/>
          <w:highlight w:val="none"/>
        </w:rPr>
        <w:t>要简捷顺直</w:t>
      </w:r>
      <w:r>
        <w:rPr>
          <w:rFonts w:cs="宋体" w:asciiTheme="minorEastAsia" w:hAnsiTheme="minorEastAsia" w:eastAsiaTheme="minorEastAsia"/>
          <w:color w:val="auto"/>
          <w:sz w:val="28"/>
          <w:szCs w:val="21"/>
        </w:rPr>
        <w:t>，不要绕弯。</w:t>
      </w:r>
    </w:p>
    <w:p>
      <w:pPr>
        <w:ind w:firstLine="567"/>
        <w:rPr>
          <w:rFonts w:cs="宋体"/>
          <w:b/>
          <w:bCs/>
          <w:color w:val="auto"/>
          <w:sz w:val="28"/>
          <w:szCs w:val="21"/>
        </w:rPr>
      </w:pPr>
      <w:r>
        <w:rPr>
          <w:rFonts w:cs="宋体"/>
          <w:b/>
          <w:bCs/>
          <w:color w:val="auto"/>
          <w:sz w:val="28"/>
          <w:szCs w:val="21"/>
        </w:rPr>
        <w:t>2、污水管网及建构筑物对公路避让原则</w:t>
      </w:r>
    </w:p>
    <w:p>
      <w:pPr>
        <w:bidi w:val="0"/>
        <w:rPr>
          <w:rFonts w:cs="宋体"/>
          <w:color w:val="auto"/>
        </w:rPr>
      </w:pPr>
      <w:r>
        <w:rPr>
          <w:rFonts w:cs="宋体"/>
          <w:color w:val="auto"/>
        </w:rPr>
        <w:t>污水管网及建构筑物</w:t>
      </w:r>
      <w:r>
        <w:rPr>
          <w:rFonts w:hint="eastAsia" w:cs="宋体"/>
          <w:color w:val="auto"/>
          <w:lang w:eastAsia="zh-CN"/>
        </w:rPr>
        <w:t>对公路避让</w:t>
      </w:r>
      <w:r>
        <w:rPr>
          <w:rFonts w:cs="宋体"/>
          <w:color w:val="auto"/>
        </w:rPr>
        <w:t>原则应符合《公路安全保护条例》相关要求。如《公路安全保护条例》第十一条“公路建筑控制区的范围，从公路用地外缘起向外的距离标准为：（一）国道不少于20米；（二）省道不少于15米；（三）县道不少于10米；（四）乡道不少于5米。属于高速公路的，公路建筑控制区的范围从公路用地外缘起向外的距离标准不少于30米。公路弯道内侧、互通立交以及平面交叉道口的建筑控制区范围根据安全视距等要求确定”；第十三条“在公路建筑控制区内，除公路保护需要外，禁止修建建筑物和地面构筑物；公路建筑控制区划定前已经合法修建的不得扩建”等规定。</w:t>
      </w:r>
    </w:p>
    <w:p>
      <w:pPr>
        <w:pStyle w:val="39"/>
        <w:numPr>
          <w:ilvl w:val="1"/>
          <w:numId w:val="9"/>
        </w:numPr>
        <w:rPr>
          <w:rFonts w:cs="宋体"/>
          <w:color w:val="auto"/>
          <w:sz w:val="28"/>
          <w:szCs w:val="28"/>
        </w:rPr>
      </w:pPr>
      <w:bookmarkStart w:id="32" w:name="_Toc10504"/>
      <w:r>
        <w:rPr>
          <w:rFonts w:hint="eastAsia" w:cs="宋体"/>
          <w:color w:val="auto"/>
          <w:sz w:val="28"/>
          <w:szCs w:val="28"/>
          <w:lang w:eastAsia="zh-CN"/>
        </w:rPr>
        <w:t>《广州市从化区中心城区水务专项规划》（防洪排涝排水部分）（</w:t>
      </w:r>
      <w:r>
        <w:rPr>
          <w:rFonts w:hint="eastAsia" w:cs="宋体"/>
          <w:color w:val="auto"/>
          <w:sz w:val="28"/>
          <w:szCs w:val="28"/>
          <w:lang w:val="en-US" w:eastAsia="zh-CN"/>
        </w:rPr>
        <w:t>2018-2035</w:t>
      </w:r>
      <w:r>
        <w:rPr>
          <w:rFonts w:hint="eastAsia" w:cs="宋体"/>
          <w:color w:val="auto"/>
          <w:sz w:val="28"/>
          <w:szCs w:val="28"/>
          <w:lang w:eastAsia="zh-CN"/>
        </w:rPr>
        <w:t>）</w:t>
      </w:r>
      <w:bookmarkEnd w:id="32"/>
    </w:p>
    <w:p>
      <w:pPr>
        <w:pStyle w:val="40"/>
        <w:numPr>
          <w:ilvl w:val="2"/>
          <w:numId w:val="9"/>
        </w:numPr>
        <w:bidi w:val="0"/>
        <w:ind w:left="0" w:leftChars="0" w:firstLine="0" w:firstLineChars="0"/>
        <w:rPr>
          <w:color w:val="auto"/>
        </w:rPr>
      </w:pPr>
      <w:r>
        <w:rPr>
          <w:rFonts w:hint="eastAsia"/>
          <w:color w:val="auto"/>
          <w:lang w:eastAsia="zh-CN"/>
        </w:rPr>
        <w:t>规划目标</w:t>
      </w:r>
    </w:p>
    <w:p>
      <w:pPr>
        <w:bidi w:val="0"/>
        <w:rPr>
          <w:rFonts w:hint="eastAsia" w:cs="宋体"/>
          <w:color w:val="auto"/>
        </w:rPr>
      </w:pPr>
      <w:r>
        <w:rPr>
          <w:rFonts w:hint="eastAsia" w:cs="宋体"/>
          <w:color w:val="auto"/>
        </w:rPr>
        <w:t>依托从化中心城区山、水、城、田、湖的空间格局，遵循河、湖水系本底特征，以防洪排涝安全和河湖水生态保护与修复为核心，优化水系循环网络，统筹防洪、排涝、市政排水、河道治理，完善水务信息化管理，实现“水宁、水活、水清、水美、水智”的目标，助力从化全面建设幸福美丽生态之城。</w:t>
      </w:r>
    </w:p>
    <w:p>
      <w:pPr>
        <w:pStyle w:val="40"/>
        <w:numPr>
          <w:ilvl w:val="2"/>
          <w:numId w:val="9"/>
        </w:numPr>
        <w:bidi w:val="0"/>
        <w:ind w:left="0" w:leftChars="0" w:firstLine="0" w:firstLineChars="0"/>
        <w:rPr>
          <w:rFonts w:hint="eastAsia"/>
          <w:color w:val="auto"/>
          <w:lang w:eastAsia="zh-CN"/>
        </w:rPr>
      </w:pPr>
      <w:r>
        <w:rPr>
          <w:rFonts w:hint="eastAsia"/>
          <w:color w:val="auto"/>
          <w:lang w:eastAsia="zh-CN"/>
        </w:rPr>
        <w:t>现状雨水分区及排水模式</w:t>
      </w:r>
    </w:p>
    <w:p>
      <w:pPr>
        <w:bidi w:val="0"/>
        <w:rPr>
          <w:rFonts w:hint="eastAsia" w:cs="宋体"/>
          <w:color w:val="auto"/>
        </w:rPr>
      </w:pPr>
      <w:r>
        <w:rPr>
          <w:rFonts w:hint="eastAsia" w:cs="宋体"/>
          <w:color w:val="auto"/>
        </w:rPr>
        <w:t>（1）排水体制</w:t>
      </w:r>
    </w:p>
    <w:p>
      <w:pPr>
        <w:bidi w:val="0"/>
        <w:rPr>
          <w:rFonts w:hint="eastAsia" w:cs="宋体"/>
          <w:color w:val="auto"/>
        </w:rPr>
      </w:pPr>
      <w:r>
        <w:rPr>
          <w:rFonts w:hint="eastAsia" w:cs="宋体"/>
          <w:color w:val="auto"/>
        </w:rPr>
        <w:t>建成区以截流式合流制为主，仅河东片南部建设区实施了雨污分流改造，但局部存在管道混接、错接现象。未建成区、分散型村庄现状基本为分散排水，未布设雨水管网，仅依地势汇入周边沟渠、坑塘，再经河道排入流溪河。</w:t>
      </w:r>
    </w:p>
    <w:p>
      <w:pPr>
        <w:bidi w:val="0"/>
        <w:rPr>
          <w:rFonts w:hint="eastAsia" w:cs="宋体"/>
          <w:color w:val="auto"/>
        </w:rPr>
      </w:pPr>
      <w:r>
        <w:rPr>
          <w:rFonts w:hint="eastAsia" w:cs="宋体"/>
          <w:color w:val="auto"/>
        </w:rPr>
        <w:t>（2）排水分区</w:t>
      </w:r>
    </w:p>
    <w:p>
      <w:pPr>
        <w:bidi w:val="0"/>
        <w:rPr>
          <w:rFonts w:hint="eastAsia" w:cs="宋体"/>
          <w:color w:val="auto"/>
        </w:rPr>
      </w:pPr>
      <w:r>
        <w:rPr>
          <w:rFonts w:hint="eastAsia" w:cs="宋体"/>
          <w:color w:val="auto"/>
        </w:rPr>
        <w:t>河西片排水分区5 个：蓝田排水分区、青苔坑下游排水分区、沙龙圳下游排水分区、旺城小涌排水分区、流溪河西岸排水分区。现状以重力自流排水为主，仅蓝田片建有雨水泵站。</w:t>
      </w:r>
    </w:p>
    <w:p>
      <w:pPr>
        <w:bidi w:val="0"/>
        <w:rPr>
          <w:rFonts w:hint="eastAsia" w:cs="宋体"/>
          <w:color w:val="auto"/>
        </w:rPr>
      </w:pPr>
      <w:r>
        <w:rPr>
          <w:rFonts w:hint="eastAsia" w:cs="宋体"/>
          <w:color w:val="auto"/>
        </w:rPr>
        <w:t>河东片排水分区8 个：江村坑分区、新沙坑分区、凤院水分区、青茅水分区、凤凰水分区、锦洞水分区以及河东南分区、小海河右分区。以自排为主，无排涝泵站。现状排水分区及排水管网分布如下图所示。</w:t>
      </w:r>
    </w:p>
    <w:p>
      <w:pPr>
        <w:bidi w:val="0"/>
        <w:ind w:left="0" w:leftChars="0" w:firstLine="0" w:firstLineChars="0"/>
        <w:jc w:val="center"/>
        <w:rPr>
          <w:color w:val="auto"/>
        </w:rPr>
      </w:pPr>
      <w:r>
        <w:rPr>
          <w:color w:val="auto"/>
          <w:sz w:val="28"/>
        </w:rPr>
        <mc:AlternateContent>
          <mc:Choice Requires="wps">
            <w:drawing>
              <wp:anchor distT="0" distB="0" distL="114300" distR="114300" simplePos="0" relativeHeight="251665408" behindDoc="0" locked="0" layoutInCell="1" allowOverlap="1">
                <wp:simplePos x="0" y="0"/>
                <wp:positionH relativeFrom="column">
                  <wp:posOffset>3077845</wp:posOffset>
                </wp:positionH>
                <wp:positionV relativeFrom="paragraph">
                  <wp:posOffset>4711065</wp:posOffset>
                </wp:positionV>
                <wp:extent cx="1122680" cy="611505"/>
                <wp:effectExtent l="4445" t="507365" r="15875" b="5080"/>
                <wp:wrapNone/>
                <wp:docPr id="50" name="圆角矩形标注 50"/>
                <wp:cNvGraphicFramePr/>
                <a:graphic xmlns:a="http://schemas.openxmlformats.org/drawingml/2006/main">
                  <a:graphicData uri="http://schemas.microsoft.com/office/word/2010/wordprocessingShape">
                    <wps:wsp>
                      <wps:cNvSpPr/>
                      <wps:spPr>
                        <a:xfrm>
                          <a:off x="0" y="0"/>
                          <a:ext cx="1122680" cy="611505"/>
                        </a:xfrm>
                        <a:prstGeom prst="wedgeRoundRectCallout">
                          <a:avLst>
                            <a:gd name="adj1" fmla="val 33653"/>
                            <a:gd name="adj2" fmla="val -132242"/>
                            <a:gd name="adj3" fmla="val 16667"/>
                          </a:avLst>
                        </a:prstGeom>
                        <a:solidFill>
                          <a:schemeClr val="bg2"/>
                        </a:solidFill>
                        <a:ln w="63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ind w:left="0" w:leftChars="0" w:firstLine="0" w:firstLineChars="0"/>
                              <w:jc w:val="center"/>
                              <w:rPr>
                                <w:rFonts w:hint="eastAsia" w:eastAsia="宋体"/>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本项目区位</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42.35pt;margin-top:370.95pt;height:48.15pt;width:88.4pt;z-index:251665408;v-text-anchor:middle;mso-width-relative:page;mso-height-relative:page;" fillcolor="#EEECE1 [3214]" filled="t" stroked="t" coordsize="21600,21600" o:gfxdata="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" adj="18069,-17764,14400">
                <v:fill on="t" focussize="0,0"/>
                <v:stroke weight="0.5pt" color="#FF0000 [3204]" joinstyle="round"/>
                <v:imagedata o:title=""/>
                <o:lock v:ext="edit" aspectratio="f"/>
                <v:textbox>
                  <w:txbxContent>
                    <w:p>
                      <w:pPr>
                        <w:ind w:left="0" w:leftChars="0" w:firstLine="0" w:firstLineChars="0"/>
                        <w:jc w:val="center"/>
                        <w:rPr>
                          <w:rFonts w:hint="eastAsia" w:eastAsia="宋体"/>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本项目区位</w:t>
                      </w:r>
                    </w:p>
                  </w:txbxContent>
                </v:textbox>
              </v:shape>
            </w:pict>
          </mc:Fallback>
        </mc:AlternateContent>
      </w:r>
      <w:r>
        <w:rPr>
          <w:color w:val="auto"/>
        </w:rPr>
        <w:drawing>
          <wp:inline distT="0" distB="0" distL="114300" distR="114300">
            <wp:extent cx="4572000" cy="5391150"/>
            <wp:effectExtent l="0" t="0" r="0" b="0"/>
            <wp:docPr id="4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1"/>
                    <pic:cNvPicPr>
                      <a:picLocks noChangeAspect="1"/>
                    </pic:cNvPicPr>
                  </pic:nvPicPr>
                  <pic:blipFill>
                    <a:blip r:embed="rId47"/>
                    <a:stretch>
                      <a:fillRect/>
                    </a:stretch>
                  </pic:blipFill>
                  <pic:spPr>
                    <a:xfrm>
                      <a:off x="0" y="0"/>
                      <a:ext cx="4572000" cy="5391150"/>
                    </a:xfrm>
                    <a:prstGeom prst="rect">
                      <a:avLst/>
                    </a:prstGeom>
                    <a:noFill/>
                    <a:ln>
                      <a:noFill/>
                    </a:ln>
                  </pic:spPr>
                </pic:pic>
              </a:graphicData>
            </a:graphic>
          </wp:inline>
        </w:drawing>
      </w:r>
    </w:p>
    <w:p>
      <w:pPr>
        <w:pStyle w:val="44"/>
        <w:numPr>
          <w:ilvl w:val="8"/>
          <w:numId w:val="9"/>
        </w:numPr>
        <w:bidi w:val="0"/>
        <w:rPr>
          <w:rFonts w:hint="default"/>
          <w:color w:val="auto"/>
          <w:lang w:val="en-US" w:eastAsia="zh-CN"/>
        </w:rPr>
      </w:pPr>
      <w:r>
        <w:rPr>
          <w:rFonts w:hint="eastAsia"/>
          <w:color w:val="auto"/>
          <w:sz w:val="28"/>
          <w:szCs w:val="24"/>
          <w:lang w:val="en-US" w:eastAsia="zh-CN"/>
        </w:rPr>
        <w:t>中心城区现状雨水排放分区图</w:t>
      </w:r>
    </w:p>
    <w:p>
      <w:pPr>
        <w:bidi w:val="0"/>
        <w:rPr>
          <w:rFonts w:hint="eastAsia" w:cs="宋体"/>
          <w:b/>
          <w:bCs/>
          <w:color w:val="auto"/>
          <w:lang w:val="en-US" w:eastAsia="zh-CN"/>
        </w:rPr>
      </w:pPr>
      <w:r>
        <w:rPr>
          <w:rFonts w:hint="eastAsia" w:cs="宋体"/>
          <w:b/>
          <w:bCs/>
          <w:color w:val="auto"/>
          <w:lang w:val="en-US" w:eastAsia="zh-CN"/>
        </w:rPr>
        <w:t>本项目位于河东片凤凰水分区。目前雨水排放为自排，无排涝泵站。无易涝点及水浸点。</w:t>
      </w:r>
    </w:p>
    <w:p>
      <w:pPr>
        <w:pStyle w:val="40"/>
        <w:numPr>
          <w:ilvl w:val="2"/>
          <w:numId w:val="9"/>
        </w:numPr>
        <w:bidi w:val="0"/>
        <w:ind w:left="0" w:leftChars="0" w:firstLine="0" w:firstLineChars="0"/>
        <w:rPr>
          <w:rFonts w:hint="eastAsia"/>
          <w:color w:val="auto"/>
          <w:lang w:eastAsia="zh-CN"/>
        </w:rPr>
      </w:pPr>
      <w:r>
        <w:rPr>
          <w:rFonts w:hint="eastAsia"/>
          <w:color w:val="auto"/>
          <w:lang w:eastAsia="zh-CN"/>
        </w:rPr>
        <w:t>水系布局和水面规划</w:t>
      </w:r>
    </w:p>
    <w:p>
      <w:pPr>
        <w:bidi w:val="0"/>
        <w:rPr>
          <w:rFonts w:hint="eastAsia" w:cs="宋体"/>
          <w:color w:val="auto"/>
        </w:rPr>
      </w:pPr>
      <w:r>
        <w:rPr>
          <w:rFonts w:hint="eastAsia" w:cs="宋体"/>
          <w:color w:val="auto"/>
        </w:rPr>
        <w:t>结合从化城市功能布局和规划路网分布，将中心城区划分为“六片”水系功能分区，分别为：北部海绵城市示范区、河西老城优排区、河西城市公园区、河东宜居风景区、河东综合优化区、河东功能转型区。各片区水系功能定位：</w:t>
      </w:r>
    </w:p>
    <w:p>
      <w:pPr>
        <w:spacing w:beforeLines="0" w:afterLines="0"/>
        <w:jc w:val="left"/>
        <w:rPr>
          <w:rFonts w:hint="eastAsia" w:ascii="榛戜綋" w:hAnsi="榛戜綋" w:eastAsia="榛戜綋"/>
          <w:color w:val="auto"/>
          <w:sz w:val="22"/>
          <w:szCs w:val="24"/>
        </w:rPr>
      </w:pPr>
      <w:r>
        <w:rPr>
          <w:rFonts w:hint="default" w:ascii="Wingdings" w:hAnsi="Wingdings" w:eastAsia="Wingdings"/>
          <w:color w:val="auto"/>
          <w:sz w:val="22"/>
          <w:szCs w:val="24"/>
        </w:rPr>
        <w:t xml:space="preserve"> </w:t>
      </w:r>
      <w:r>
        <w:rPr>
          <w:rFonts w:hint="eastAsia" w:ascii="榛戜綋" w:hAnsi="榛戜綋" w:eastAsia="榛戜綋"/>
          <w:color w:val="auto"/>
          <w:sz w:val="22"/>
          <w:szCs w:val="24"/>
        </w:rPr>
        <w:t>北部海绵城市示范区</w:t>
      </w:r>
      <w:r>
        <w:rPr>
          <w:rFonts w:hint="eastAsia" w:ascii="Times New Roman" w:hAnsi="Times New Roman" w:eastAsia="Times New Roman"/>
          <w:color w:val="auto"/>
          <w:sz w:val="22"/>
          <w:szCs w:val="24"/>
        </w:rPr>
        <w:t>——</w:t>
      </w:r>
      <w:r>
        <w:rPr>
          <w:rFonts w:hint="eastAsia" w:ascii="榛戜綋" w:hAnsi="榛戜綋" w:eastAsia="榛戜綋"/>
          <w:color w:val="auto"/>
          <w:sz w:val="22"/>
          <w:szCs w:val="24"/>
        </w:rPr>
        <w:t>维育</w:t>
      </w:r>
      <w:r>
        <w:rPr>
          <w:rFonts w:hint="eastAsia" w:ascii="Times New Roman" w:hAnsi="Times New Roman" w:eastAsia="Times New Roman"/>
          <w:color w:val="auto"/>
          <w:sz w:val="22"/>
          <w:szCs w:val="24"/>
        </w:rPr>
        <w:t>“</w:t>
      </w:r>
      <w:r>
        <w:rPr>
          <w:rFonts w:hint="eastAsia" w:ascii="榛戜綋" w:hAnsi="榛戜綋" w:eastAsia="榛戜綋"/>
          <w:color w:val="auto"/>
          <w:sz w:val="22"/>
          <w:szCs w:val="24"/>
        </w:rPr>
        <w:t>渗、滞、蓄</w:t>
      </w:r>
      <w:r>
        <w:rPr>
          <w:rFonts w:hint="eastAsia" w:ascii="Times New Roman" w:hAnsi="Times New Roman" w:eastAsia="Times New Roman"/>
          <w:color w:val="auto"/>
          <w:sz w:val="22"/>
          <w:szCs w:val="24"/>
        </w:rPr>
        <w:t>”</w:t>
      </w:r>
      <w:r>
        <w:rPr>
          <w:rFonts w:hint="eastAsia" w:ascii="榛戜綋" w:hAnsi="榛戜綋" w:eastAsia="榛戜綋"/>
          <w:color w:val="auto"/>
          <w:sz w:val="22"/>
          <w:szCs w:val="24"/>
        </w:rPr>
        <w:t>海绵本底，助力新城建设</w:t>
      </w:r>
    </w:p>
    <w:p>
      <w:pPr>
        <w:spacing w:beforeLines="0" w:afterLines="0"/>
        <w:jc w:val="left"/>
        <w:rPr>
          <w:rFonts w:hint="eastAsia" w:ascii="榛戜綋" w:hAnsi="榛戜綋" w:eastAsia="榛戜綋"/>
          <w:color w:val="auto"/>
          <w:sz w:val="22"/>
          <w:szCs w:val="24"/>
        </w:rPr>
      </w:pPr>
      <w:r>
        <w:rPr>
          <w:rFonts w:hint="default" w:ascii="Wingdings" w:hAnsi="Wingdings" w:eastAsia="Wingdings"/>
          <w:color w:val="auto"/>
          <w:sz w:val="22"/>
          <w:szCs w:val="24"/>
        </w:rPr>
        <w:t xml:space="preserve"> </w:t>
      </w:r>
      <w:r>
        <w:rPr>
          <w:rFonts w:hint="eastAsia" w:ascii="榛戜綋" w:hAnsi="榛戜綋" w:eastAsia="榛戜綋"/>
          <w:color w:val="auto"/>
          <w:sz w:val="22"/>
          <w:szCs w:val="24"/>
        </w:rPr>
        <w:t>河西老城优排区</w:t>
      </w:r>
      <w:r>
        <w:rPr>
          <w:rFonts w:hint="eastAsia" w:ascii="Times New Roman" w:hAnsi="Times New Roman" w:eastAsia="Times New Roman"/>
          <w:color w:val="auto"/>
          <w:sz w:val="22"/>
          <w:szCs w:val="24"/>
        </w:rPr>
        <w:t>——</w:t>
      </w:r>
      <w:r>
        <w:rPr>
          <w:rFonts w:hint="eastAsia" w:ascii="榛戜綋" w:hAnsi="榛戜綋" w:eastAsia="榛戜綋"/>
          <w:color w:val="auto"/>
          <w:sz w:val="22"/>
          <w:szCs w:val="24"/>
        </w:rPr>
        <w:t>优化排水系统，保障城市安全</w:t>
      </w:r>
    </w:p>
    <w:p>
      <w:pPr>
        <w:spacing w:beforeLines="0" w:afterLines="0"/>
        <w:jc w:val="left"/>
        <w:rPr>
          <w:rFonts w:hint="eastAsia" w:ascii="榛戜綋" w:hAnsi="榛戜綋" w:eastAsia="榛戜綋"/>
          <w:color w:val="auto"/>
          <w:sz w:val="22"/>
          <w:szCs w:val="24"/>
        </w:rPr>
      </w:pPr>
      <w:r>
        <w:rPr>
          <w:rFonts w:hint="default" w:ascii="Wingdings" w:hAnsi="Wingdings" w:eastAsia="Wingdings"/>
          <w:color w:val="auto"/>
          <w:sz w:val="22"/>
          <w:szCs w:val="24"/>
        </w:rPr>
        <w:t xml:space="preserve"> </w:t>
      </w:r>
      <w:r>
        <w:rPr>
          <w:rFonts w:hint="eastAsia" w:ascii="榛戜綋" w:hAnsi="榛戜綋" w:eastAsia="榛戜綋"/>
          <w:color w:val="auto"/>
          <w:sz w:val="22"/>
          <w:szCs w:val="24"/>
        </w:rPr>
        <w:t>河西城市公园区</w:t>
      </w:r>
      <w:r>
        <w:rPr>
          <w:rFonts w:hint="eastAsia" w:ascii="Times New Roman" w:hAnsi="Times New Roman" w:eastAsia="Times New Roman"/>
          <w:color w:val="auto"/>
          <w:sz w:val="22"/>
          <w:szCs w:val="24"/>
        </w:rPr>
        <w:t>——</w:t>
      </w:r>
      <w:r>
        <w:rPr>
          <w:rFonts w:hint="eastAsia" w:ascii="榛戜綋" w:hAnsi="榛戜綋" w:eastAsia="榛戜綋"/>
          <w:color w:val="auto"/>
          <w:sz w:val="22"/>
          <w:szCs w:val="24"/>
        </w:rPr>
        <w:t>依托生态屏障，涵养青山绿水</w:t>
      </w:r>
    </w:p>
    <w:p>
      <w:pPr>
        <w:spacing w:beforeLines="0" w:afterLines="0"/>
        <w:jc w:val="left"/>
        <w:rPr>
          <w:rFonts w:hint="eastAsia" w:ascii="榛戜綋" w:hAnsi="榛戜綋" w:eastAsia="榛戜綋"/>
          <w:color w:val="auto"/>
          <w:sz w:val="22"/>
          <w:szCs w:val="24"/>
        </w:rPr>
      </w:pPr>
      <w:r>
        <w:rPr>
          <w:rFonts w:hint="default" w:ascii="Wingdings" w:hAnsi="Wingdings" w:eastAsia="Wingdings"/>
          <w:color w:val="auto"/>
          <w:sz w:val="22"/>
          <w:szCs w:val="24"/>
        </w:rPr>
        <w:t xml:space="preserve"> </w:t>
      </w:r>
      <w:r>
        <w:rPr>
          <w:rFonts w:hint="eastAsia" w:ascii="榛戜綋" w:hAnsi="榛戜綋" w:eastAsia="榛戜綋"/>
          <w:color w:val="auto"/>
          <w:sz w:val="22"/>
          <w:szCs w:val="24"/>
        </w:rPr>
        <w:t>河东宜居风景区</w:t>
      </w:r>
      <w:r>
        <w:rPr>
          <w:rFonts w:hint="eastAsia" w:ascii="Times New Roman" w:hAnsi="Times New Roman" w:eastAsia="Times New Roman"/>
          <w:color w:val="auto"/>
          <w:sz w:val="22"/>
          <w:szCs w:val="24"/>
        </w:rPr>
        <w:t>——</w:t>
      </w:r>
      <w:r>
        <w:rPr>
          <w:rFonts w:hint="eastAsia" w:ascii="榛戜綋" w:hAnsi="榛戜綋" w:eastAsia="榛戜綋"/>
          <w:color w:val="auto"/>
          <w:sz w:val="22"/>
          <w:szCs w:val="24"/>
        </w:rPr>
        <w:t>提升景观品质，打造宜居环境</w:t>
      </w:r>
    </w:p>
    <w:p>
      <w:pPr>
        <w:spacing w:beforeLines="0" w:afterLines="0"/>
        <w:jc w:val="left"/>
        <w:rPr>
          <w:rFonts w:hint="eastAsia" w:ascii="榛戜綋" w:hAnsi="榛戜綋" w:eastAsia="榛戜綋"/>
          <w:color w:val="auto"/>
          <w:sz w:val="22"/>
          <w:szCs w:val="24"/>
        </w:rPr>
      </w:pPr>
      <w:r>
        <w:rPr>
          <w:rFonts w:hint="default" w:ascii="Wingdings" w:hAnsi="Wingdings" w:eastAsia="Wingdings"/>
          <w:color w:val="auto"/>
          <w:sz w:val="22"/>
          <w:szCs w:val="24"/>
        </w:rPr>
        <w:t xml:space="preserve"> </w:t>
      </w:r>
      <w:r>
        <w:rPr>
          <w:rFonts w:hint="eastAsia" w:ascii="榛戜綋" w:hAnsi="榛戜綋" w:eastAsia="榛戜綋"/>
          <w:color w:val="auto"/>
          <w:sz w:val="22"/>
          <w:szCs w:val="24"/>
        </w:rPr>
        <w:t>河东综合优化区</w:t>
      </w:r>
      <w:r>
        <w:rPr>
          <w:rFonts w:hint="eastAsia" w:ascii="Times New Roman" w:hAnsi="Times New Roman" w:eastAsia="Times New Roman"/>
          <w:color w:val="auto"/>
          <w:sz w:val="22"/>
          <w:szCs w:val="24"/>
        </w:rPr>
        <w:t>——</w:t>
      </w:r>
      <w:r>
        <w:rPr>
          <w:rFonts w:hint="eastAsia" w:ascii="榛戜綋" w:hAnsi="榛戜綋" w:eastAsia="榛戜綋"/>
          <w:color w:val="auto"/>
          <w:sz w:val="22"/>
          <w:szCs w:val="24"/>
        </w:rPr>
        <w:t>完善排水系统，加速城市发展</w:t>
      </w:r>
    </w:p>
    <w:p>
      <w:pPr>
        <w:bidi w:val="0"/>
        <w:rPr>
          <w:rFonts w:hint="eastAsia" w:ascii="榛戜綋" w:hAnsi="榛戜綋" w:eastAsia="榛戜綋"/>
          <w:color w:val="auto"/>
          <w:sz w:val="22"/>
          <w:szCs w:val="24"/>
        </w:rPr>
      </w:pPr>
      <w:r>
        <w:rPr>
          <w:rFonts w:hint="default" w:ascii="Wingdings" w:hAnsi="Wingdings" w:eastAsia="Wingdings"/>
          <w:color w:val="auto"/>
          <w:sz w:val="22"/>
          <w:szCs w:val="24"/>
        </w:rPr>
        <w:t xml:space="preserve"> </w:t>
      </w:r>
      <w:r>
        <w:rPr>
          <w:rFonts w:hint="eastAsia" w:ascii="榛戜綋" w:hAnsi="榛戜綋" w:eastAsia="榛戜綋"/>
          <w:color w:val="auto"/>
          <w:sz w:val="22"/>
          <w:szCs w:val="24"/>
        </w:rPr>
        <w:t>河东功能转型区</w:t>
      </w:r>
      <w:r>
        <w:rPr>
          <w:rFonts w:hint="eastAsia" w:ascii="Times New Roman" w:hAnsi="Times New Roman" w:eastAsia="Times New Roman"/>
          <w:color w:val="auto"/>
          <w:sz w:val="22"/>
          <w:szCs w:val="24"/>
        </w:rPr>
        <w:t>——</w:t>
      </w:r>
      <w:r>
        <w:rPr>
          <w:rFonts w:hint="eastAsia" w:ascii="榛戜綋" w:hAnsi="榛戜綋" w:eastAsia="榛戜綋"/>
          <w:color w:val="auto"/>
          <w:sz w:val="22"/>
          <w:szCs w:val="24"/>
        </w:rPr>
        <w:t>立足生态基底，服务产业转型</w:t>
      </w:r>
    </w:p>
    <w:p>
      <w:pPr>
        <w:bidi w:val="0"/>
        <w:jc w:val="center"/>
        <w:rPr>
          <w:color w:val="auto"/>
        </w:rPr>
      </w:pPr>
      <w:r>
        <w:rPr>
          <w:color w:val="auto"/>
          <w:sz w:val="28"/>
        </w:rPr>
        <mc:AlternateContent>
          <mc:Choice Requires="wps">
            <w:drawing>
              <wp:anchor distT="0" distB="0" distL="114300" distR="114300" simplePos="0" relativeHeight="251666432" behindDoc="0" locked="0" layoutInCell="1" allowOverlap="1">
                <wp:simplePos x="0" y="0"/>
                <wp:positionH relativeFrom="column">
                  <wp:posOffset>2920365</wp:posOffset>
                </wp:positionH>
                <wp:positionV relativeFrom="paragraph">
                  <wp:posOffset>3835400</wp:posOffset>
                </wp:positionV>
                <wp:extent cx="1122680" cy="611505"/>
                <wp:effectExtent l="4445" t="507365" r="15875" b="5080"/>
                <wp:wrapNone/>
                <wp:docPr id="53" name="圆角矩形标注 53"/>
                <wp:cNvGraphicFramePr/>
                <a:graphic xmlns:a="http://schemas.openxmlformats.org/drawingml/2006/main">
                  <a:graphicData uri="http://schemas.microsoft.com/office/word/2010/wordprocessingShape">
                    <wps:wsp>
                      <wps:cNvSpPr/>
                      <wps:spPr>
                        <a:xfrm>
                          <a:off x="0" y="0"/>
                          <a:ext cx="1122680" cy="611505"/>
                        </a:xfrm>
                        <a:prstGeom prst="wedgeRoundRectCallout">
                          <a:avLst>
                            <a:gd name="adj1" fmla="val 33653"/>
                            <a:gd name="adj2" fmla="val -132242"/>
                            <a:gd name="adj3" fmla="val 16667"/>
                          </a:avLst>
                        </a:prstGeom>
                        <a:solidFill>
                          <a:schemeClr val="bg2"/>
                        </a:solidFill>
                        <a:ln w="63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ind w:left="0" w:leftChars="0" w:firstLine="0" w:firstLineChars="0"/>
                              <w:jc w:val="center"/>
                              <w:rPr>
                                <w:rFonts w:hint="eastAsia" w:eastAsia="宋体"/>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本项目区位</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29.95pt;margin-top:302pt;height:48.15pt;width:88.4pt;z-index:251666432;v-text-anchor:middle;mso-width-relative:page;mso-height-relative:page;" fillcolor="#EEECE1 [3214]" filled="t" stroked="t" coordsize="21600,21600" o:gfxdata="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SoIQp9kAAAALAQAA&#10;DwAAAAAAAAABACAAAAAiAAAAZHJzL2Rvd25yZXYueG1sUEsBAhQAFAAAAAgAh07iQBWKvFLDAgAA&#10;fQUAAA4AAAAAAAAAAQAgAAAAKAEAAGRycy9lMm9Eb2MueG1sUEsFBgAAAAAGAAYAWQEAAF0GAAAA&#10;AA==&#10;" adj="18069,-17764,14400">
                <v:fill on="t" focussize="0,0"/>
                <v:stroke weight="0.5pt" color="#FF0000 [3204]" joinstyle="round"/>
                <v:imagedata o:title=""/>
                <o:lock v:ext="edit" aspectratio="f"/>
                <v:textbox>
                  <w:txbxContent>
                    <w:p>
                      <w:pPr>
                        <w:ind w:left="0" w:leftChars="0" w:firstLine="0" w:firstLineChars="0"/>
                        <w:jc w:val="center"/>
                        <w:rPr>
                          <w:rFonts w:hint="eastAsia" w:eastAsia="宋体"/>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本项目区位</w:t>
                      </w:r>
                    </w:p>
                  </w:txbxContent>
                </v:textbox>
              </v:shape>
            </w:pict>
          </mc:Fallback>
        </mc:AlternateContent>
      </w:r>
      <w:r>
        <w:rPr>
          <w:color w:val="auto"/>
        </w:rPr>
        <w:drawing>
          <wp:inline distT="0" distB="0" distL="114300" distR="114300">
            <wp:extent cx="4420870" cy="4634865"/>
            <wp:effectExtent l="0" t="0" r="17780" b="13335"/>
            <wp:docPr id="5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2"/>
                    <pic:cNvPicPr>
                      <a:picLocks noChangeAspect="1"/>
                    </pic:cNvPicPr>
                  </pic:nvPicPr>
                  <pic:blipFill>
                    <a:blip r:embed="rId48"/>
                    <a:stretch>
                      <a:fillRect/>
                    </a:stretch>
                  </pic:blipFill>
                  <pic:spPr>
                    <a:xfrm>
                      <a:off x="0" y="0"/>
                      <a:ext cx="4420870" cy="4634865"/>
                    </a:xfrm>
                    <a:prstGeom prst="rect">
                      <a:avLst/>
                    </a:prstGeom>
                    <a:noFill/>
                    <a:ln>
                      <a:noFill/>
                    </a:ln>
                  </pic:spPr>
                </pic:pic>
              </a:graphicData>
            </a:graphic>
          </wp:inline>
        </w:drawing>
      </w:r>
    </w:p>
    <w:p>
      <w:pPr>
        <w:pStyle w:val="44"/>
        <w:numPr>
          <w:ilvl w:val="8"/>
          <w:numId w:val="9"/>
        </w:numPr>
        <w:bidi w:val="0"/>
        <w:rPr>
          <w:rFonts w:hint="default"/>
          <w:color w:val="auto"/>
          <w:lang w:val="en-US" w:eastAsia="zh-CN"/>
        </w:rPr>
      </w:pPr>
      <w:r>
        <w:rPr>
          <w:rFonts w:hint="eastAsia"/>
          <w:color w:val="auto"/>
          <w:sz w:val="28"/>
          <w:szCs w:val="24"/>
          <w:lang w:val="en-US" w:eastAsia="zh-CN"/>
        </w:rPr>
        <w:t>“一核六片”水系布局分区图</w:t>
      </w:r>
    </w:p>
    <w:p>
      <w:pPr>
        <w:bidi w:val="0"/>
        <w:rPr>
          <w:rFonts w:hint="eastAsia" w:cs="宋体"/>
          <w:b/>
          <w:bCs/>
          <w:color w:val="auto"/>
          <w:lang w:val="en-US" w:eastAsia="zh-CN"/>
        </w:rPr>
      </w:pPr>
      <w:r>
        <w:rPr>
          <w:rFonts w:hint="eastAsia" w:cs="宋体"/>
          <w:b/>
          <w:bCs/>
          <w:color w:val="auto"/>
          <w:lang w:val="en-US" w:eastAsia="zh-CN"/>
        </w:rPr>
        <w:t>本项目位于河东功能转型区。</w:t>
      </w:r>
    </w:p>
    <w:p>
      <w:pPr>
        <w:bidi w:val="0"/>
        <w:rPr>
          <w:rFonts w:hint="eastAsia" w:cs="宋体"/>
          <w:color w:val="auto"/>
        </w:rPr>
      </w:pPr>
      <w:r>
        <w:rPr>
          <w:rFonts w:hint="eastAsia" w:cs="宋体"/>
          <w:color w:val="auto"/>
        </w:rPr>
        <w:t>片区本底特征：现状为农村地区，水系网络发达，地势总体较高，可自排。</w:t>
      </w:r>
    </w:p>
    <w:p>
      <w:pPr>
        <w:bidi w:val="0"/>
        <w:rPr>
          <w:rFonts w:hint="eastAsia" w:cs="宋体"/>
          <w:color w:val="auto"/>
        </w:rPr>
      </w:pPr>
      <w:r>
        <w:rPr>
          <w:rFonts w:hint="eastAsia" w:cs="宋体"/>
          <w:color w:val="auto"/>
        </w:rPr>
        <w:t>城建功能定位：片区位于中心城区东南侧，规划发展成教育、研究开发孵化、生产三位一体的高新科技产业区。</w:t>
      </w:r>
    </w:p>
    <w:p>
      <w:pPr>
        <w:bidi w:val="0"/>
        <w:rPr>
          <w:rFonts w:hint="eastAsia" w:cs="宋体"/>
          <w:color w:val="auto"/>
        </w:rPr>
      </w:pPr>
      <w:r>
        <w:rPr>
          <w:rFonts w:hint="eastAsia" w:cs="宋体"/>
          <w:color w:val="auto"/>
        </w:rPr>
        <w:t>水系规划指引：结合地区产业转型额片区建设，进一步完善小海河堤防，保障防洪排涝安全，提升水景观，培育生态休憩功能。</w:t>
      </w:r>
    </w:p>
    <w:p>
      <w:pPr>
        <w:bidi w:val="0"/>
        <w:rPr>
          <w:rFonts w:hint="eastAsia" w:cs="宋体"/>
          <w:color w:val="auto"/>
        </w:rPr>
      </w:pPr>
      <w:r>
        <w:rPr>
          <w:rFonts w:hint="eastAsia" w:cs="宋体"/>
          <w:color w:val="auto"/>
        </w:rPr>
        <w:t>问题分析：河涌均承泻上游山洪，排涝功能重要。但河涌均未整治，多过流断面不足。</w:t>
      </w:r>
    </w:p>
    <w:p>
      <w:pPr>
        <w:bidi w:val="0"/>
        <w:rPr>
          <w:rFonts w:hint="eastAsia" w:cs="宋体"/>
          <w:color w:val="auto"/>
        </w:rPr>
      </w:pPr>
      <w:r>
        <w:rPr>
          <w:rFonts w:hint="eastAsia" w:cs="宋体"/>
          <w:color w:val="auto"/>
        </w:rPr>
        <w:t>规划措施：按照20 年一遇排涝标准整治凤凰水、青茅水及锦洞水。</w:t>
      </w:r>
    </w:p>
    <w:p>
      <w:pPr>
        <w:bidi w:val="0"/>
        <w:rPr>
          <w:rFonts w:hint="eastAsia" w:cs="宋体"/>
          <w:b/>
          <w:bCs/>
          <w:color w:val="auto"/>
          <w:lang w:val="en-US" w:eastAsia="zh-CN"/>
        </w:rPr>
      </w:pPr>
      <w:r>
        <w:rPr>
          <w:rFonts w:hint="eastAsia" w:cs="宋体"/>
          <w:b/>
          <w:bCs/>
          <w:color w:val="auto"/>
          <w:lang w:val="en-US" w:eastAsia="zh-CN"/>
        </w:rPr>
        <w:t>此部分主要为堤防改造及河涌整治等水利工程，不属于本项目改造范围。</w:t>
      </w:r>
    </w:p>
    <w:p>
      <w:pPr>
        <w:pStyle w:val="40"/>
        <w:numPr>
          <w:ilvl w:val="2"/>
          <w:numId w:val="9"/>
        </w:numPr>
        <w:bidi w:val="0"/>
        <w:ind w:left="0" w:leftChars="0" w:firstLine="0" w:firstLineChars="0"/>
        <w:rPr>
          <w:rFonts w:hint="eastAsia"/>
          <w:color w:val="auto"/>
          <w:lang w:eastAsia="zh-CN"/>
        </w:rPr>
      </w:pPr>
      <w:r>
        <w:rPr>
          <w:rFonts w:hint="eastAsia"/>
          <w:color w:val="auto"/>
          <w:lang w:eastAsia="zh-CN"/>
        </w:rPr>
        <w:t>排涝片区规划</w:t>
      </w:r>
    </w:p>
    <w:p>
      <w:pPr>
        <w:bidi w:val="0"/>
        <w:rPr>
          <w:rFonts w:hint="eastAsia" w:cs="宋体"/>
          <w:color w:val="auto"/>
        </w:rPr>
      </w:pPr>
      <w:r>
        <w:rPr>
          <w:rFonts w:hint="eastAsia" w:cs="宋体"/>
          <w:color w:val="auto"/>
        </w:rPr>
        <w:t>（1）排涝现状及存在问题</w:t>
      </w:r>
    </w:p>
    <w:p>
      <w:pPr>
        <w:bidi w:val="0"/>
        <w:rPr>
          <w:rFonts w:hint="eastAsia" w:cs="宋体"/>
          <w:color w:val="auto"/>
        </w:rPr>
      </w:pPr>
      <w:r>
        <w:rPr>
          <w:rFonts w:hint="eastAsia" w:cs="宋体"/>
          <w:color w:val="auto"/>
        </w:rPr>
        <w:t>凤凰水排涝片位于河东片区东南部，承泄区为小海河。汇水范围54.78km</w:t>
      </w:r>
      <w:r>
        <w:rPr>
          <w:rFonts w:hint="eastAsia" w:cs="宋体"/>
          <w:color w:val="auto"/>
          <w:vertAlign w:val="superscript"/>
        </w:rPr>
        <w:t>2</w:t>
      </w:r>
      <w:r>
        <w:rPr>
          <w:rFonts w:hint="eastAsia" w:cs="宋体"/>
          <w:color w:val="auto"/>
        </w:rPr>
        <w:t>，地势呈东高西低，中间夹杂有山体，地面高程33.5~38m（不含山体），其中规划区范围内1.55km</w:t>
      </w:r>
      <w:r>
        <w:rPr>
          <w:rFonts w:hint="eastAsia" w:cs="宋体"/>
          <w:color w:val="auto"/>
          <w:vertAlign w:val="superscript"/>
        </w:rPr>
        <w:t>2</w:t>
      </w:r>
      <w:r>
        <w:rPr>
          <w:rFonts w:hint="eastAsia" w:cs="宋体"/>
          <w:color w:val="auto"/>
        </w:rPr>
        <w:t>，地势较为低平。</w:t>
      </w:r>
    </w:p>
    <w:p>
      <w:pPr>
        <w:bidi w:val="0"/>
        <w:rPr>
          <w:rFonts w:hint="eastAsia" w:cs="宋体"/>
          <w:color w:val="auto"/>
        </w:rPr>
      </w:pPr>
      <w:r>
        <w:rPr>
          <w:rFonts w:hint="eastAsia" w:cs="宋体"/>
          <w:color w:val="auto"/>
        </w:rPr>
        <w:t>主要河涌：凤凰水及其支流，自排汇至小海河。现状河道未整治。</w:t>
      </w:r>
    </w:p>
    <w:p>
      <w:pPr>
        <w:bidi w:val="0"/>
        <w:rPr>
          <w:rFonts w:hint="eastAsia" w:cs="宋体"/>
          <w:color w:val="auto"/>
        </w:rPr>
      </w:pPr>
      <w:r>
        <w:rPr>
          <w:rFonts w:hint="eastAsia" w:cs="宋体"/>
          <w:color w:val="auto"/>
        </w:rPr>
        <w:t>（2）排涝规划方案</w:t>
      </w:r>
    </w:p>
    <w:p>
      <w:pPr>
        <w:bidi w:val="0"/>
        <w:rPr>
          <w:rFonts w:hint="eastAsia" w:cs="宋体"/>
          <w:color w:val="auto"/>
        </w:rPr>
      </w:pPr>
      <w:r>
        <w:rPr>
          <w:rFonts w:hint="eastAsia" w:cs="宋体"/>
          <w:color w:val="auto"/>
        </w:rPr>
        <w:t>凤凰水汇入口小海河10 年一遇设计水位为33.64m，片区地面高于承泄区洪水位，因此规划为自排区。</w:t>
      </w:r>
    </w:p>
    <w:p>
      <w:pPr>
        <w:bidi w:val="0"/>
        <w:rPr>
          <w:rFonts w:hint="eastAsia" w:cs="宋体"/>
          <w:color w:val="auto"/>
        </w:rPr>
      </w:pPr>
      <w:r>
        <w:rPr>
          <w:rFonts w:hint="eastAsia" w:cs="宋体"/>
          <w:color w:val="auto"/>
        </w:rPr>
        <w:t>规划对凤凰水及凤凰水支流进行清淤疏浚，对过流不满足的河段进行拓宽，并结合城市建设开发及布局，打造景观生态堤岸。</w:t>
      </w:r>
    </w:p>
    <w:p>
      <w:pPr>
        <w:bidi w:val="0"/>
        <w:rPr>
          <w:rFonts w:hint="eastAsia" w:cs="宋体"/>
          <w:color w:val="auto"/>
        </w:rPr>
      </w:pPr>
      <w:r>
        <w:rPr>
          <w:rFonts w:hint="eastAsia" w:cs="宋体"/>
          <w:color w:val="auto"/>
        </w:rPr>
        <w:t>建议结合海绵城市低影响开发理念，控制城市化建设强度，并保留现有较大鱼塘作为景观水面和雨洪调蓄区，同时适当填高低洼地面，保证区域自排。</w:t>
      </w:r>
    </w:p>
    <w:p>
      <w:pPr>
        <w:bidi w:val="0"/>
        <w:rPr>
          <w:rFonts w:hint="eastAsia" w:cs="宋体"/>
          <w:color w:val="auto"/>
        </w:rPr>
      </w:pPr>
      <w:r>
        <w:rPr>
          <w:rFonts w:hint="eastAsia" w:cs="宋体"/>
          <w:color w:val="auto"/>
        </w:rPr>
        <w:t>（3）最高控制水位</w:t>
      </w:r>
    </w:p>
    <w:p>
      <w:pPr>
        <w:bidi w:val="0"/>
        <w:rPr>
          <w:rFonts w:hint="eastAsia" w:cs="宋体"/>
          <w:color w:val="auto"/>
          <w:lang w:eastAsia="zh-CN"/>
        </w:rPr>
      </w:pPr>
      <w:r>
        <w:rPr>
          <w:rFonts w:hint="eastAsia" w:cs="宋体"/>
          <w:color w:val="auto"/>
        </w:rPr>
        <w:t>根据现状地面、建设开发强度及承泄区洪水位关系，确定凤凰水最高控制水位在34m。建议结合该地块建设开发，同步对低洼区域进行填高，确保新建及开发改造区域满足排涝要求。</w:t>
      </w:r>
    </w:p>
    <w:p>
      <w:pPr>
        <w:pStyle w:val="40"/>
        <w:numPr>
          <w:ilvl w:val="2"/>
          <w:numId w:val="9"/>
        </w:numPr>
        <w:bidi w:val="0"/>
        <w:ind w:left="0" w:leftChars="0" w:firstLine="0" w:firstLineChars="0"/>
        <w:rPr>
          <w:rFonts w:hint="eastAsia"/>
          <w:color w:val="auto"/>
          <w:lang w:eastAsia="zh-CN"/>
        </w:rPr>
      </w:pPr>
      <w:r>
        <w:rPr>
          <w:rFonts w:hint="eastAsia"/>
          <w:color w:val="auto"/>
          <w:lang w:eastAsia="zh-CN"/>
        </w:rPr>
        <w:t>雨水管渠规划</w:t>
      </w:r>
    </w:p>
    <w:p>
      <w:pPr>
        <w:bidi w:val="0"/>
        <w:rPr>
          <w:rFonts w:hint="eastAsia" w:cs="宋体"/>
          <w:color w:val="auto"/>
        </w:rPr>
      </w:pPr>
      <w:r>
        <w:rPr>
          <w:rFonts w:hint="eastAsia" w:cs="宋体"/>
          <w:color w:val="auto"/>
        </w:rPr>
        <w:t>根据</w:t>
      </w:r>
      <w:r>
        <w:rPr>
          <w:rFonts w:hint="eastAsia" w:cs="宋体"/>
          <w:color w:val="auto"/>
          <w:lang w:eastAsia="zh-CN"/>
        </w:rPr>
        <w:t>规划</w:t>
      </w:r>
      <w:r>
        <w:rPr>
          <w:rFonts w:hint="eastAsia" w:cs="宋体"/>
          <w:color w:val="auto"/>
        </w:rPr>
        <w:t>雨水管网布置方案，规划区需建设的雨水系统规划埋管总长为73.14km。雨水管渠分布详见附图。</w:t>
      </w:r>
    </w:p>
    <w:p>
      <w:pPr>
        <w:bidi w:val="0"/>
        <w:rPr>
          <w:rFonts w:hint="default" w:eastAsia="宋体" w:cs="宋体"/>
          <w:b/>
          <w:bCs/>
          <w:color w:val="auto"/>
          <w:lang w:val="en-US" w:eastAsia="zh-CN"/>
        </w:rPr>
      </w:pPr>
      <w:r>
        <w:rPr>
          <w:rFonts w:hint="eastAsia" w:cs="宋体"/>
          <w:b/>
          <w:bCs/>
          <w:color w:val="auto"/>
          <w:lang w:eastAsia="zh-CN"/>
        </w:rPr>
        <w:t>根据规划雨水管渠分布图，本项目所在</w:t>
      </w:r>
      <w:r>
        <w:rPr>
          <w:rFonts w:hint="eastAsia" w:cs="宋体"/>
          <w:b/>
          <w:bCs/>
          <w:color w:val="auto"/>
          <w:lang w:val="en-US" w:eastAsia="zh-CN"/>
        </w:rPr>
        <w:t>Y523道路暂无雨水管渠建设规划，结合现状雨水分区及排水模式、水面规划及排涝规划，本项目拟采用现状道路边沟（合流系统）作为雨水排水通道，采用自排，无需建设排涝泵站。规划中堤岸整治及河道整治将由其他水利工程项目进行。</w:t>
      </w:r>
    </w:p>
    <w:p>
      <w:pPr>
        <w:bidi w:val="0"/>
        <w:ind w:left="0" w:leftChars="0" w:firstLine="0" w:firstLineChars="0"/>
        <w:jc w:val="center"/>
        <w:rPr>
          <w:rFonts w:hint="eastAsia" w:cs="宋体"/>
          <w:color w:val="auto"/>
          <w:lang w:val="en-US" w:eastAsia="zh-CN"/>
        </w:rPr>
      </w:pPr>
      <w:r>
        <w:rPr>
          <w:color w:val="auto"/>
          <w:sz w:val="28"/>
        </w:rPr>
        <mc:AlternateContent>
          <mc:Choice Requires="wps">
            <w:drawing>
              <wp:anchor distT="0" distB="0" distL="114300" distR="114300" simplePos="0" relativeHeight="251667456" behindDoc="0" locked="0" layoutInCell="1" allowOverlap="1">
                <wp:simplePos x="0" y="0"/>
                <wp:positionH relativeFrom="column">
                  <wp:posOffset>2727960</wp:posOffset>
                </wp:positionH>
                <wp:positionV relativeFrom="paragraph">
                  <wp:posOffset>6522720</wp:posOffset>
                </wp:positionV>
                <wp:extent cx="1122680" cy="611505"/>
                <wp:effectExtent l="4445" t="507365" r="15875" b="5080"/>
                <wp:wrapNone/>
                <wp:docPr id="55" name="圆角矩形标注 55"/>
                <wp:cNvGraphicFramePr/>
                <a:graphic xmlns:a="http://schemas.openxmlformats.org/drawingml/2006/main">
                  <a:graphicData uri="http://schemas.microsoft.com/office/word/2010/wordprocessingShape">
                    <wps:wsp>
                      <wps:cNvSpPr/>
                      <wps:spPr>
                        <a:xfrm>
                          <a:off x="0" y="0"/>
                          <a:ext cx="1122680" cy="611505"/>
                        </a:xfrm>
                        <a:prstGeom prst="wedgeRoundRectCallout">
                          <a:avLst>
                            <a:gd name="adj1" fmla="val 33653"/>
                            <a:gd name="adj2" fmla="val -132242"/>
                            <a:gd name="adj3" fmla="val 16667"/>
                          </a:avLst>
                        </a:prstGeom>
                        <a:solidFill>
                          <a:schemeClr val="bg2"/>
                        </a:solidFill>
                        <a:ln w="63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ind w:left="0" w:leftChars="0" w:firstLine="0" w:firstLineChars="0"/>
                              <w:jc w:val="center"/>
                              <w:rPr>
                                <w:rFonts w:hint="eastAsia" w:eastAsia="宋体"/>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本项目区位</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14.8pt;margin-top:513.6pt;height:48.15pt;width:88.4pt;z-index:251667456;v-text-anchor:middle;mso-width-relative:page;mso-height-relative:page;" fillcolor="#EEECE1 [3214]" filled="t" stroked="t" coordsize="21600,21600" o:gfxdata="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" adj="18069,-17764,14400">
                <v:fill on="t" focussize="0,0"/>
                <v:stroke weight="0.5pt" color="#FF0000 [3204]" joinstyle="round"/>
                <v:imagedata o:title=""/>
                <o:lock v:ext="edit" aspectratio="f"/>
                <v:textbox>
                  <w:txbxContent>
                    <w:p>
                      <w:pPr>
                        <w:ind w:left="0" w:leftChars="0" w:firstLine="0" w:firstLineChars="0"/>
                        <w:jc w:val="center"/>
                        <w:rPr>
                          <w:rFonts w:hint="eastAsia" w:eastAsia="宋体"/>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本项目区位</w:t>
                      </w:r>
                    </w:p>
                  </w:txbxContent>
                </v:textbox>
              </v:shape>
            </w:pict>
          </mc:Fallback>
        </mc:AlternateContent>
      </w:r>
      <w:r>
        <w:rPr>
          <w:color w:val="auto"/>
        </w:rPr>
        <w:drawing>
          <wp:inline distT="0" distB="0" distL="114300" distR="114300">
            <wp:extent cx="5772785" cy="7223125"/>
            <wp:effectExtent l="0" t="0" r="18415" b="15875"/>
            <wp:docPr id="5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3"/>
                    <pic:cNvPicPr>
                      <a:picLocks noChangeAspect="1"/>
                    </pic:cNvPicPr>
                  </pic:nvPicPr>
                  <pic:blipFill>
                    <a:blip r:embed="rId49"/>
                    <a:stretch>
                      <a:fillRect/>
                    </a:stretch>
                  </pic:blipFill>
                  <pic:spPr>
                    <a:xfrm>
                      <a:off x="0" y="0"/>
                      <a:ext cx="5772785" cy="7223125"/>
                    </a:xfrm>
                    <a:prstGeom prst="rect">
                      <a:avLst/>
                    </a:prstGeom>
                    <a:noFill/>
                    <a:ln>
                      <a:noFill/>
                    </a:ln>
                  </pic:spPr>
                </pic:pic>
              </a:graphicData>
            </a:graphic>
          </wp:inline>
        </w:drawing>
      </w:r>
    </w:p>
    <w:p>
      <w:pPr>
        <w:pStyle w:val="44"/>
        <w:numPr>
          <w:ilvl w:val="8"/>
          <w:numId w:val="9"/>
        </w:numPr>
        <w:bidi w:val="0"/>
        <w:rPr>
          <w:rFonts w:hint="default"/>
          <w:color w:val="auto"/>
          <w:lang w:val="en-US" w:eastAsia="zh-CN"/>
        </w:rPr>
      </w:pPr>
      <w:r>
        <w:rPr>
          <w:rFonts w:hint="eastAsia"/>
          <w:color w:val="auto"/>
          <w:sz w:val="28"/>
          <w:szCs w:val="24"/>
          <w:lang w:val="en-US" w:eastAsia="zh-CN"/>
        </w:rPr>
        <w:t>现状及规划雨水管渠布置图</w:t>
      </w:r>
    </w:p>
    <w:p>
      <w:pPr>
        <w:pStyle w:val="39"/>
        <w:numPr>
          <w:ilvl w:val="1"/>
          <w:numId w:val="9"/>
        </w:numPr>
        <w:rPr>
          <w:rFonts w:cs="宋体"/>
          <w:color w:val="auto"/>
          <w:sz w:val="28"/>
          <w:szCs w:val="28"/>
        </w:rPr>
      </w:pPr>
      <w:bookmarkStart w:id="33" w:name="_Toc10337"/>
      <w:r>
        <w:rPr>
          <w:rFonts w:hint="eastAsia" w:cs="宋体"/>
          <w:color w:val="auto"/>
          <w:sz w:val="28"/>
          <w:szCs w:val="28"/>
          <w:lang w:eastAsia="zh-CN"/>
        </w:rPr>
        <w:t>《从化区污水专项规划》（</w:t>
      </w:r>
      <w:r>
        <w:rPr>
          <w:rFonts w:hint="eastAsia" w:cs="宋体"/>
          <w:color w:val="auto"/>
          <w:sz w:val="28"/>
          <w:szCs w:val="28"/>
          <w:lang w:val="en-US" w:eastAsia="zh-CN"/>
        </w:rPr>
        <w:t>2017-2035</w:t>
      </w:r>
      <w:r>
        <w:rPr>
          <w:rFonts w:hint="eastAsia" w:cs="宋体"/>
          <w:color w:val="auto"/>
          <w:sz w:val="28"/>
          <w:szCs w:val="28"/>
          <w:lang w:eastAsia="zh-CN"/>
        </w:rPr>
        <w:t>）</w:t>
      </w:r>
      <w:bookmarkEnd w:id="33"/>
    </w:p>
    <w:p>
      <w:pPr>
        <w:pStyle w:val="40"/>
        <w:numPr>
          <w:ilvl w:val="2"/>
          <w:numId w:val="9"/>
        </w:numPr>
        <w:bidi w:val="0"/>
        <w:ind w:left="0" w:leftChars="0" w:firstLine="0" w:firstLineChars="0"/>
        <w:rPr>
          <w:color w:val="auto"/>
        </w:rPr>
      </w:pPr>
      <w:r>
        <w:rPr>
          <w:color w:val="auto"/>
        </w:rPr>
        <w:t>规划目标</w:t>
      </w:r>
      <w:bookmarkEnd w:id="28"/>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（1）改善水环境、提升人居环境</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污水治理作为水环境改善的重要措施，通过污水管网全覆盖、控源截污、完善污水处理设施布局、提高污水厂出水标准，并结合湿地尾水深度处理从而改善从化区水环境质量，提升人居环境。</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（2）优化污水分区、完善污水系统布局</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梳理从化区现状污水工程系统存在的问题，研究针对现状不合理设施布局的优化方法，完善污水系统布局，优化污水分区，为污水系统工程的规划建设提供强有力的支撑。</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（3）完善污水设施，综合提升污水处理水平</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针对从化现状污水处理系统存在的管网覆盖率低、低截流倍数的截流式合流制为主的排水体制及部分区域未建设污水处理设施等问题，全面提升污水处理水平，为全面提升水环境创造条件。</w:t>
      </w:r>
    </w:p>
    <w:p>
      <w:pPr>
        <w:pStyle w:val="40"/>
        <w:numPr>
          <w:ilvl w:val="2"/>
          <w:numId w:val="9"/>
        </w:numPr>
        <w:bidi w:val="0"/>
        <w:ind w:left="0" w:leftChars="0" w:firstLine="0" w:firstLineChars="0"/>
        <w:rPr>
          <w:color w:val="auto"/>
        </w:rPr>
      </w:pPr>
      <w:bookmarkStart w:id="34" w:name="_Toc839"/>
      <w:r>
        <w:rPr>
          <w:color w:val="auto"/>
        </w:rPr>
        <w:t>排水体制</w:t>
      </w:r>
      <w:bookmarkEnd w:id="34"/>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中心城区排水体制采用以下原则：</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（1）规划新建区采用雨、污分流制，对新建的道路、小区一律实行分流制，建设污水、雨水两套排水系统；</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（2）旧城区近期采用截流式合流制，远期结合道路或旧城区的改造逐步过渡到雨、污分流制。新建区域采用雨污分流制；</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（3）规划新建</w:t>
      </w:r>
      <w:r>
        <w:rPr>
          <w:rFonts w:cs="宋体" w:asciiTheme="minorEastAsia" w:hAnsiTheme="minorEastAsia" w:eastAsiaTheme="minorEastAsia"/>
          <w:color w:val="auto"/>
          <w:sz w:val="28"/>
          <w:szCs w:val="21"/>
          <w:highlight w:val="none"/>
        </w:rPr>
        <w:t>区与</w:t>
      </w:r>
      <w:r>
        <w:rPr>
          <w:rFonts w:cs="宋体" w:asciiTheme="minorEastAsia" w:hAnsiTheme="minorEastAsia" w:eastAsiaTheme="minorEastAsia"/>
          <w:color w:val="auto"/>
          <w:sz w:val="28"/>
          <w:szCs w:val="21"/>
        </w:rPr>
        <w:t>建成区结合地带，采用截流式合流制改造旧系统、分流制建设新系统的原则。</w:t>
      </w:r>
    </w:p>
    <w:p>
      <w:pPr>
        <w:pStyle w:val="12"/>
        <w:rPr>
          <w:rFonts w:hint="eastAsia" w:eastAsiaTheme="minorEastAsia"/>
          <w:b/>
          <w:bCs/>
          <w:color w:val="auto"/>
          <w:lang w:eastAsia="zh-CN"/>
        </w:rPr>
      </w:pPr>
      <w:r>
        <w:rPr>
          <w:rFonts w:hint="eastAsia" w:cs="宋体" w:asciiTheme="minorEastAsia" w:hAnsiTheme="minorEastAsia" w:eastAsiaTheme="minorEastAsia"/>
          <w:b/>
          <w:bCs/>
          <w:color w:val="auto"/>
          <w:sz w:val="28"/>
          <w:szCs w:val="21"/>
          <w:lang w:eastAsia="zh-CN"/>
        </w:rPr>
        <w:t>本项目属第（</w:t>
      </w:r>
      <w:r>
        <w:rPr>
          <w:rFonts w:hint="eastAsia" w:cs="宋体" w:asciiTheme="minorEastAsia" w:hAnsiTheme="minorEastAsia" w:eastAsiaTheme="minorEastAsia"/>
          <w:b/>
          <w:bCs/>
          <w:color w:val="auto"/>
          <w:sz w:val="28"/>
          <w:szCs w:val="21"/>
          <w:lang w:val="en-US" w:eastAsia="zh-CN"/>
        </w:rPr>
        <w:t>3</w:t>
      </w:r>
      <w:r>
        <w:rPr>
          <w:rFonts w:hint="eastAsia" w:cs="宋体" w:asciiTheme="minorEastAsia" w:hAnsiTheme="minorEastAsia" w:eastAsiaTheme="minorEastAsia"/>
          <w:b/>
          <w:bCs/>
          <w:color w:val="auto"/>
          <w:sz w:val="28"/>
          <w:szCs w:val="21"/>
          <w:lang w:eastAsia="zh-CN"/>
        </w:rPr>
        <w:t>）种情况，位于</w:t>
      </w:r>
      <w:r>
        <w:rPr>
          <w:rFonts w:cs="宋体" w:asciiTheme="minorEastAsia" w:hAnsiTheme="minorEastAsia" w:eastAsiaTheme="minorEastAsia"/>
          <w:b/>
          <w:bCs/>
          <w:color w:val="auto"/>
          <w:sz w:val="28"/>
          <w:szCs w:val="21"/>
        </w:rPr>
        <w:t>规划新建</w:t>
      </w:r>
      <w:r>
        <w:rPr>
          <w:rFonts w:cs="宋体" w:asciiTheme="minorEastAsia" w:hAnsiTheme="minorEastAsia" w:eastAsiaTheme="minorEastAsia"/>
          <w:b/>
          <w:bCs/>
          <w:color w:val="auto"/>
          <w:sz w:val="28"/>
          <w:szCs w:val="21"/>
          <w:highlight w:val="none"/>
        </w:rPr>
        <w:t>区与</w:t>
      </w:r>
      <w:r>
        <w:rPr>
          <w:rFonts w:cs="宋体" w:asciiTheme="minorEastAsia" w:hAnsiTheme="minorEastAsia" w:eastAsiaTheme="minorEastAsia"/>
          <w:b/>
          <w:bCs/>
          <w:color w:val="auto"/>
          <w:sz w:val="28"/>
          <w:szCs w:val="21"/>
        </w:rPr>
        <w:t>建成区结合地带</w:t>
      </w:r>
      <w:r>
        <w:rPr>
          <w:rFonts w:hint="eastAsia" w:cs="宋体" w:asciiTheme="minorEastAsia" w:hAnsiTheme="minorEastAsia" w:eastAsiaTheme="minorEastAsia"/>
          <w:b/>
          <w:bCs/>
          <w:color w:val="auto"/>
          <w:sz w:val="28"/>
          <w:szCs w:val="21"/>
          <w:lang w:eastAsia="zh-CN"/>
        </w:rPr>
        <w:t>，</w:t>
      </w:r>
      <w:r>
        <w:rPr>
          <w:rFonts w:cs="宋体" w:asciiTheme="minorEastAsia" w:hAnsiTheme="minorEastAsia" w:eastAsiaTheme="minorEastAsia"/>
          <w:b/>
          <w:bCs/>
          <w:color w:val="auto"/>
          <w:sz w:val="28"/>
          <w:szCs w:val="21"/>
        </w:rPr>
        <w:t>采用截流式合流制改造旧系统、分流制建设新系统的原则。</w:t>
      </w:r>
      <w:r>
        <w:rPr>
          <w:rFonts w:hint="eastAsia" w:cs="宋体" w:asciiTheme="minorEastAsia" w:hAnsiTheme="minorEastAsia" w:eastAsiaTheme="minorEastAsia"/>
          <w:b/>
          <w:bCs/>
          <w:color w:val="auto"/>
          <w:sz w:val="28"/>
          <w:szCs w:val="21"/>
          <w:lang w:eastAsia="zh-CN"/>
        </w:rPr>
        <w:t>故本项目新建污水主管采用分流制，沿线农村部分可采用</w:t>
      </w:r>
      <w:r>
        <w:rPr>
          <w:rFonts w:cs="宋体" w:asciiTheme="minorEastAsia" w:hAnsiTheme="minorEastAsia" w:eastAsiaTheme="minorEastAsia"/>
          <w:b/>
          <w:bCs/>
          <w:color w:val="auto"/>
          <w:sz w:val="28"/>
          <w:szCs w:val="21"/>
        </w:rPr>
        <w:t>截流式合流制改造</w:t>
      </w:r>
      <w:r>
        <w:rPr>
          <w:rFonts w:hint="eastAsia" w:cs="宋体" w:asciiTheme="minorEastAsia" w:hAnsiTheme="minorEastAsia" w:eastAsiaTheme="minorEastAsia"/>
          <w:b/>
          <w:bCs/>
          <w:color w:val="auto"/>
          <w:sz w:val="28"/>
          <w:szCs w:val="21"/>
          <w:lang w:eastAsia="zh-CN"/>
        </w:rPr>
        <w:t>。</w:t>
      </w:r>
    </w:p>
    <w:p>
      <w:pPr>
        <w:pStyle w:val="40"/>
        <w:numPr>
          <w:ilvl w:val="2"/>
          <w:numId w:val="9"/>
        </w:numPr>
        <w:bidi w:val="0"/>
        <w:ind w:left="0" w:leftChars="0" w:firstLine="0" w:firstLineChars="0"/>
        <w:rPr>
          <w:color w:val="auto"/>
        </w:rPr>
      </w:pPr>
      <w:bookmarkStart w:id="35" w:name="_Toc7309"/>
      <w:r>
        <w:rPr>
          <w:color w:val="auto"/>
        </w:rPr>
        <w:t>污水分区</w:t>
      </w:r>
      <w:bookmarkEnd w:id="35"/>
    </w:p>
    <w:p>
      <w:pPr>
        <w:ind w:firstLine="565"/>
        <w:rPr>
          <w:rFonts w:hint="eastAsia" w:cs="宋体" w:asciiTheme="minorEastAsia" w:hAnsiTheme="minorEastAsia" w:eastAsiaTheme="minorEastAsia"/>
          <w:color w:val="auto"/>
          <w:sz w:val="28"/>
          <w:szCs w:val="21"/>
          <w:lang w:val="en-US" w:eastAsia="zh-CN"/>
        </w:rPr>
      </w:pPr>
      <w:r>
        <w:rPr>
          <w:rFonts w:cs="宋体" w:asciiTheme="minorEastAsia" w:hAnsiTheme="minorEastAsia" w:eastAsiaTheme="minorEastAsia"/>
          <w:color w:val="auto"/>
          <w:sz w:val="28"/>
          <w:szCs w:val="21"/>
          <w:lang w:val="en-US" w:eastAsia="zh-CN"/>
        </w:rPr>
        <w:t xml:space="preserve">中心城区污水系统根据各自主干管纳污范围分为 </w:t>
      </w:r>
      <w:r>
        <w:rPr>
          <w:rFonts w:hint="default" w:cs="宋体" w:asciiTheme="minorEastAsia" w:hAnsiTheme="minorEastAsia" w:eastAsiaTheme="minorEastAsia"/>
          <w:color w:val="auto"/>
          <w:sz w:val="28"/>
          <w:szCs w:val="21"/>
          <w:lang w:val="en-US" w:eastAsia="zh-CN"/>
        </w:rPr>
        <w:t xml:space="preserve">6 </w:t>
      </w:r>
      <w:r>
        <w:rPr>
          <w:rFonts w:hint="eastAsia" w:cs="宋体" w:asciiTheme="minorEastAsia" w:hAnsiTheme="minorEastAsia" w:eastAsiaTheme="minorEastAsia"/>
          <w:color w:val="auto"/>
          <w:sz w:val="28"/>
          <w:szCs w:val="21"/>
          <w:lang w:val="en-US" w:eastAsia="zh-CN"/>
        </w:rPr>
        <w:t>个污水分区</w:t>
      </w:r>
    </w:p>
    <w:p>
      <w:pPr>
        <w:ind w:firstLine="0" w:firstLineChars="0"/>
        <w:jc w:val="center"/>
        <w:rPr>
          <w:rFonts w:cs="宋体" w:asciiTheme="minorEastAsia" w:hAnsiTheme="minorEastAsia" w:eastAsiaTheme="minorEastAsia"/>
          <w:color w:val="auto"/>
          <w:sz w:val="28"/>
          <w:szCs w:val="21"/>
        </w:rPr>
      </w:pPr>
      <w:r>
        <w:rPr>
          <w:rFonts w:cs="宋体"/>
          <w:color w:val="auto"/>
          <w:sz w:val="28"/>
          <w:szCs w:val="21"/>
        </w:rPr>
        <w:drawing>
          <wp:inline distT="0" distB="0" distL="114300" distR="114300">
            <wp:extent cx="5554980" cy="4917440"/>
            <wp:effectExtent l="0" t="0" r="7620" b="16510"/>
            <wp:docPr id="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
                    <pic:cNvPicPr>
                      <a:picLocks noChangeAspect="1"/>
                    </pic:cNvPicPr>
                  </pic:nvPicPr>
                  <pic:blipFill>
                    <a:blip r:embed="rId50"/>
                    <a:stretch>
                      <a:fillRect/>
                    </a:stretch>
                  </pic:blipFill>
                  <pic:spPr>
                    <a:xfrm>
                      <a:off x="0" y="0"/>
                      <a:ext cx="5554980" cy="4917440"/>
                    </a:xfrm>
                    <a:prstGeom prst="rect">
                      <a:avLst/>
                    </a:prstGeom>
                    <a:noFill/>
                    <a:ln>
                      <a:noFill/>
                    </a:ln>
                  </pic:spPr>
                </pic:pic>
              </a:graphicData>
            </a:graphic>
          </wp:inline>
        </w:drawing>
      </w:r>
    </w:p>
    <w:p>
      <w:pPr>
        <w:pStyle w:val="44"/>
        <w:numPr>
          <w:ilvl w:val="8"/>
          <w:numId w:val="9"/>
        </w:numPr>
        <w:rPr>
          <w:rStyle w:val="92"/>
          <w:rFonts w:cs="宋体"/>
          <w:color w:val="auto"/>
        </w:rPr>
      </w:pPr>
      <w:r>
        <w:rPr>
          <w:rFonts w:hint="default" w:cs="宋体" w:asciiTheme="minorEastAsia" w:hAnsiTheme="minorEastAsia" w:eastAsiaTheme="minorEastAsia"/>
          <w:color w:val="auto"/>
          <w:sz w:val="28"/>
          <w:szCs w:val="21"/>
          <w:lang w:val="en-US" w:eastAsia="zh-CN"/>
        </w:rPr>
        <w:t xml:space="preserve"> </w:t>
      </w:r>
      <w:r>
        <w:rPr>
          <w:rStyle w:val="92"/>
          <w:rFonts w:hint="eastAsia" w:cs="宋体"/>
          <w:color w:val="auto"/>
          <w:lang w:val="en-US" w:eastAsia="zh-CN"/>
        </w:rPr>
        <w:t>中心城区现状污水分区示意图</w:t>
      </w:r>
    </w:p>
    <w:p>
      <w:pPr>
        <w:ind w:firstLine="565"/>
        <w:rPr>
          <w:rFonts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val="en-US" w:eastAsia="zh-CN"/>
        </w:rPr>
        <w:t>（</w:t>
      </w:r>
      <w:r>
        <w:rPr>
          <w:rFonts w:hint="default" w:cs="宋体" w:asciiTheme="minorEastAsia" w:hAnsiTheme="minorEastAsia" w:eastAsiaTheme="minorEastAsia"/>
          <w:color w:val="auto"/>
          <w:sz w:val="28"/>
          <w:szCs w:val="21"/>
          <w:lang w:val="en-US" w:eastAsia="zh-CN"/>
        </w:rPr>
        <w:t>1</w:t>
      </w:r>
      <w:r>
        <w:rPr>
          <w:rFonts w:hint="eastAsia" w:cs="宋体" w:asciiTheme="minorEastAsia" w:hAnsiTheme="minorEastAsia" w:eastAsiaTheme="minorEastAsia"/>
          <w:color w:val="auto"/>
          <w:sz w:val="28"/>
          <w:szCs w:val="21"/>
          <w:lang w:val="en-US" w:eastAsia="zh-CN"/>
        </w:rPr>
        <w:t xml:space="preserve">） 污水分区一：主要收集城郊街西部城镇污水和街口街 </w:t>
      </w:r>
      <w:r>
        <w:rPr>
          <w:rFonts w:hint="default" w:cs="宋体" w:asciiTheme="minorEastAsia" w:hAnsiTheme="minorEastAsia" w:eastAsiaTheme="minorEastAsia"/>
          <w:color w:val="auto"/>
          <w:sz w:val="28"/>
          <w:szCs w:val="21"/>
          <w:lang w:val="en-US" w:eastAsia="zh-CN"/>
        </w:rPr>
        <w:t xml:space="preserve">S335 </w:t>
      </w:r>
      <w:r>
        <w:rPr>
          <w:rFonts w:hint="eastAsia" w:cs="宋体" w:asciiTheme="minorEastAsia" w:hAnsiTheme="minorEastAsia" w:eastAsiaTheme="minorEastAsia"/>
          <w:color w:val="auto"/>
          <w:sz w:val="28"/>
          <w:szCs w:val="21"/>
          <w:lang w:val="en-US" w:eastAsia="zh-CN"/>
        </w:rPr>
        <w:t xml:space="preserve">两侧用地城镇污水，污水 由北往南收集至从化水质净化厂。 </w:t>
      </w:r>
    </w:p>
    <w:p>
      <w:pPr>
        <w:ind w:firstLine="565"/>
        <w:rPr>
          <w:rFonts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val="en-US" w:eastAsia="zh-CN"/>
        </w:rPr>
        <w:t>（</w:t>
      </w:r>
      <w:r>
        <w:rPr>
          <w:rFonts w:hint="default" w:cs="宋体" w:asciiTheme="minorEastAsia" w:hAnsiTheme="minorEastAsia" w:eastAsiaTheme="minorEastAsia"/>
          <w:color w:val="auto"/>
          <w:sz w:val="28"/>
          <w:szCs w:val="21"/>
          <w:lang w:val="en-US" w:eastAsia="zh-CN"/>
        </w:rPr>
        <w:t>2</w:t>
      </w:r>
      <w:r>
        <w:rPr>
          <w:rFonts w:hint="eastAsia" w:cs="宋体" w:asciiTheme="minorEastAsia" w:hAnsiTheme="minorEastAsia" w:eastAsiaTheme="minorEastAsia"/>
          <w:color w:val="auto"/>
          <w:sz w:val="28"/>
          <w:szCs w:val="21"/>
          <w:lang w:val="en-US" w:eastAsia="zh-CN"/>
        </w:rPr>
        <w:t xml:space="preserve">） 污水分区二：主要收集城郊街中部城镇污水和街口街中部和南部城镇污水，污水由北 往南收集至从化水质净化厂。 </w:t>
      </w:r>
    </w:p>
    <w:p>
      <w:pPr>
        <w:ind w:firstLine="565"/>
        <w:rPr>
          <w:rFonts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val="en-US" w:eastAsia="zh-CN"/>
        </w:rPr>
        <w:t>（</w:t>
      </w:r>
      <w:r>
        <w:rPr>
          <w:rFonts w:hint="default" w:cs="宋体" w:asciiTheme="minorEastAsia" w:hAnsiTheme="minorEastAsia" w:eastAsiaTheme="minorEastAsia"/>
          <w:color w:val="auto"/>
          <w:sz w:val="28"/>
          <w:szCs w:val="21"/>
          <w:lang w:val="en-US" w:eastAsia="zh-CN"/>
        </w:rPr>
        <w:t>3</w:t>
      </w:r>
      <w:r>
        <w:rPr>
          <w:rFonts w:hint="eastAsia" w:cs="宋体" w:asciiTheme="minorEastAsia" w:hAnsiTheme="minorEastAsia" w:eastAsiaTheme="minorEastAsia"/>
          <w:color w:val="auto"/>
          <w:sz w:val="28"/>
          <w:szCs w:val="21"/>
          <w:lang w:val="en-US" w:eastAsia="zh-CN"/>
        </w:rPr>
        <w:t xml:space="preserve">） 污水分区三：主要收集城郊街东部城镇污水和街口街青苔坑沿线地块城镇污水，污水 由北往南收集至青苔坑泵站，泵站提升后排至中心城区污水处理厂。 </w:t>
      </w:r>
    </w:p>
    <w:p>
      <w:pPr>
        <w:ind w:firstLine="565"/>
        <w:rPr>
          <w:rFonts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val="en-US" w:eastAsia="zh-CN"/>
        </w:rPr>
        <w:t>（</w:t>
      </w:r>
      <w:r>
        <w:rPr>
          <w:rFonts w:hint="default" w:cs="宋体" w:asciiTheme="minorEastAsia" w:hAnsiTheme="minorEastAsia" w:eastAsiaTheme="minorEastAsia"/>
          <w:color w:val="auto"/>
          <w:sz w:val="28"/>
          <w:szCs w:val="21"/>
          <w:lang w:val="en-US" w:eastAsia="zh-CN"/>
        </w:rPr>
        <w:t>4</w:t>
      </w:r>
      <w:r>
        <w:rPr>
          <w:rFonts w:hint="eastAsia" w:cs="宋体" w:asciiTheme="minorEastAsia" w:hAnsiTheme="minorEastAsia" w:eastAsiaTheme="minorEastAsia"/>
          <w:color w:val="auto"/>
          <w:sz w:val="28"/>
          <w:szCs w:val="21"/>
          <w:lang w:val="en-US" w:eastAsia="zh-CN"/>
        </w:rPr>
        <w:t xml:space="preserve">） 污水分区四：主要收集江埔街沿江南路和从化大道之间的地块城镇污水、河东北路 以北地块城镇污水以及青苔坑泵站上游转输的城镇污水，污水由北往南收集至中心城区污水处理厂。 </w:t>
      </w:r>
    </w:p>
    <w:p>
      <w:pPr>
        <w:ind w:firstLine="565"/>
        <w:rPr>
          <w:rFonts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val="en-US" w:eastAsia="zh-CN"/>
        </w:rPr>
        <w:t>（</w:t>
      </w:r>
      <w:r>
        <w:rPr>
          <w:rFonts w:hint="default" w:cs="宋体" w:asciiTheme="minorEastAsia" w:hAnsiTheme="minorEastAsia" w:eastAsiaTheme="minorEastAsia"/>
          <w:color w:val="auto"/>
          <w:sz w:val="28"/>
          <w:szCs w:val="21"/>
          <w:lang w:val="en-US" w:eastAsia="zh-CN"/>
        </w:rPr>
        <w:t>5</w:t>
      </w:r>
      <w:r>
        <w:rPr>
          <w:rFonts w:hint="eastAsia" w:cs="宋体" w:asciiTheme="minorEastAsia" w:hAnsiTheme="minorEastAsia" w:eastAsiaTheme="minorEastAsia"/>
          <w:color w:val="auto"/>
          <w:sz w:val="28"/>
          <w:szCs w:val="21"/>
          <w:lang w:val="en-US" w:eastAsia="zh-CN"/>
        </w:rPr>
        <w:t>） 污水分区五：主要收集江埔街河东北路以南、从化大道以东、</w:t>
      </w:r>
      <w:r>
        <w:rPr>
          <w:rFonts w:hint="default" w:cs="宋体" w:asciiTheme="minorEastAsia" w:hAnsiTheme="minorEastAsia" w:eastAsiaTheme="minorEastAsia"/>
          <w:color w:val="auto"/>
          <w:sz w:val="28"/>
          <w:szCs w:val="21"/>
          <w:lang w:val="en-US" w:eastAsia="zh-CN"/>
        </w:rPr>
        <w:t xml:space="preserve">G105 </w:t>
      </w:r>
      <w:r>
        <w:rPr>
          <w:rFonts w:hint="eastAsia" w:cs="宋体" w:asciiTheme="minorEastAsia" w:hAnsiTheme="minorEastAsia" w:eastAsiaTheme="minorEastAsia"/>
          <w:color w:val="auto"/>
          <w:sz w:val="28"/>
          <w:szCs w:val="21"/>
          <w:lang w:val="en-US" w:eastAsia="zh-CN"/>
        </w:rPr>
        <w:t xml:space="preserve">国道以西和小海河以西区域城镇污水，污水由北往南排至中心城区污水处理厂。 </w:t>
      </w:r>
    </w:p>
    <w:p>
      <w:pPr>
        <w:ind w:firstLine="565"/>
        <w:rPr>
          <w:rFonts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val="en-US" w:eastAsia="zh-CN"/>
        </w:rPr>
        <w:t>（</w:t>
      </w:r>
      <w:r>
        <w:rPr>
          <w:rFonts w:hint="default" w:cs="宋体" w:asciiTheme="minorEastAsia" w:hAnsiTheme="minorEastAsia" w:eastAsiaTheme="minorEastAsia"/>
          <w:color w:val="auto"/>
          <w:sz w:val="28"/>
          <w:szCs w:val="21"/>
          <w:lang w:val="en-US" w:eastAsia="zh-CN"/>
        </w:rPr>
        <w:t>6</w:t>
      </w:r>
      <w:r>
        <w:rPr>
          <w:rFonts w:hint="eastAsia" w:cs="宋体" w:asciiTheme="minorEastAsia" w:hAnsiTheme="minorEastAsia" w:eastAsiaTheme="minorEastAsia"/>
          <w:color w:val="auto"/>
          <w:sz w:val="28"/>
          <w:szCs w:val="21"/>
          <w:lang w:val="en-US" w:eastAsia="zh-CN"/>
        </w:rPr>
        <w:t xml:space="preserve">） 污水分区六：主要收集江埔街 </w:t>
      </w:r>
      <w:r>
        <w:rPr>
          <w:rFonts w:hint="default" w:cs="宋体" w:asciiTheme="minorEastAsia" w:hAnsiTheme="minorEastAsia" w:eastAsiaTheme="minorEastAsia"/>
          <w:color w:val="auto"/>
          <w:sz w:val="28"/>
          <w:szCs w:val="21"/>
          <w:lang w:val="en-US" w:eastAsia="zh-CN"/>
        </w:rPr>
        <w:t xml:space="preserve">G105 </w:t>
      </w:r>
      <w:r>
        <w:rPr>
          <w:rFonts w:hint="eastAsia" w:cs="宋体" w:asciiTheme="minorEastAsia" w:hAnsiTheme="minorEastAsia" w:eastAsiaTheme="minorEastAsia"/>
          <w:color w:val="auto"/>
          <w:sz w:val="28"/>
          <w:szCs w:val="21"/>
          <w:lang w:val="en-US" w:eastAsia="zh-CN"/>
        </w:rPr>
        <w:t>国道以东和小海河以东区域城镇污水，污水由北往南收集至中心城区污水处理厂。</w:t>
      </w:r>
    </w:p>
    <w:p>
      <w:pPr>
        <w:ind w:firstLine="565"/>
        <w:rPr>
          <w:rFonts w:cs="宋体" w:asciiTheme="minorEastAsia" w:hAnsiTheme="minorEastAsia" w:eastAsiaTheme="minorEastAsia"/>
          <w:b/>
          <w:bCs/>
          <w:color w:val="auto"/>
          <w:sz w:val="28"/>
          <w:szCs w:val="21"/>
        </w:rPr>
      </w:pPr>
      <w:r>
        <w:rPr>
          <w:rFonts w:hint="eastAsia" w:cs="宋体" w:asciiTheme="minorEastAsia" w:hAnsiTheme="minorEastAsia" w:eastAsiaTheme="minorEastAsia"/>
          <w:b/>
          <w:bCs/>
          <w:color w:val="auto"/>
          <w:sz w:val="28"/>
          <w:szCs w:val="21"/>
          <w:lang w:eastAsia="zh-CN"/>
        </w:rPr>
        <w:t>本项目位于污水分区六，</w:t>
      </w:r>
      <w:r>
        <w:rPr>
          <w:rFonts w:hint="eastAsia" w:cs="宋体" w:asciiTheme="minorEastAsia" w:hAnsiTheme="minorEastAsia" w:eastAsiaTheme="minorEastAsia"/>
          <w:b/>
          <w:bCs/>
          <w:color w:val="auto"/>
          <w:sz w:val="28"/>
          <w:szCs w:val="21"/>
          <w:lang w:val="en-US" w:eastAsia="zh-CN"/>
        </w:rPr>
        <w:t>G105国道以东，污水将收入中心城区污水处理厂</w:t>
      </w:r>
      <w:r>
        <w:rPr>
          <w:rFonts w:cs="宋体" w:asciiTheme="minorEastAsia" w:hAnsiTheme="minorEastAsia" w:eastAsiaTheme="minorEastAsia"/>
          <w:b/>
          <w:bCs/>
          <w:color w:val="auto"/>
          <w:sz w:val="28"/>
          <w:szCs w:val="21"/>
        </w:rPr>
        <w:t>。</w:t>
      </w:r>
    </w:p>
    <w:p>
      <w:pPr>
        <w:pStyle w:val="40"/>
        <w:numPr>
          <w:ilvl w:val="2"/>
          <w:numId w:val="9"/>
        </w:numPr>
        <w:bidi w:val="0"/>
        <w:ind w:left="0" w:leftChars="0" w:firstLine="0" w:firstLineChars="0"/>
        <w:rPr>
          <w:color w:val="auto"/>
        </w:rPr>
      </w:pPr>
      <w:r>
        <w:rPr>
          <w:rFonts w:hint="eastAsia"/>
          <w:color w:val="auto"/>
          <w:lang w:eastAsia="zh-CN"/>
        </w:rPr>
        <w:t>中心城区污水处理厂规划</w:t>
      </w:r>
    </w:p>
    <w:p>
      <w:pPr>
        <w:numPr>
          <w:ilvl w:val="0"/>
          <w:numId w:val="15"/>
        </w:numPr>
        <w:spacing w:beforeLines="0" w:afterLines="0"/>
        <w:jc w:val="left"/>
        <w:rPr>
          <w:rFonts w:hint="eastAsia" w:ascii="MicrosoftYaHei-Bold" w:hAnsi="MicrosoftYaHei-Bold" w:eastAsia="MicrosoftYaHei-Bold"/>
          <w:b/>
          <w:color w:val="auto"/>
          <w:sz w:val="24"/>
          <w:szCs w:val="22"/>
        </w:rPr>
      </w:pPr>
      <w:r>
        <w:rPr>
          <w:rFonts w:hint="eastAsia" w:ascii="MicrosoftYaHei-Bold" w:hAnsi="MicrosoftYaHei-Bold" w:eastAsia="MicrosoftYaHei-Bold"/>
          <w:b/>
          <w:color w:val="auto"/>
          <w:sz w:val="24"/>
          <w:szCs w:val="22"/>
        </w:rPr>
        <w:t>污水处理厂规划</w:t>
      </w:r>
    </w:p>
    <w:p>
      <w:pPr>
        <w:ind w:firstLine="565"/>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eastAsia="zh-CN"/>
        </w:rPr>
        <w:t>结合中心城区污水分区，取消一座污水处理厂，设置两座污水处理厂，即：取消从化水质净化厂，扩建中心城区污水处理厂，新建明珠东污水处理厂。</w:t>
      </w:r>
    </w:p>
    <w:p>
      <w:pPr>
        <w:numPr>
          <w:ilvl w:val="0"/>
          <w:numId w:val="15"/>
        </w:numPr>
        <w:spacing w:beforeLines="0" w:afterLines="0"/>
        <w:jc w:val="left"/>
        <w:rPr>
          <w:rFonts w:hint="eastAsia" w:ascii="MicrosoftYaHei-Bold" w:hAnsi="MicrosoftYaHei-Bold" w:eastAsia="MicrosoftYaHei-Bold"/>
          <w:b/>
          <w:color w:val="auto"/>
          <w:sz w:val="24"/>
          <w:szCs w:val="22"/>
        </w:rPr>
      </w:pPr>
      <w:r>
        <w:rPr>
          <w:rFonts w:hint="eastAsia" w:ascii="MicrosoftYaHei-Bold" w:hAnsi="MicrosoftYaHei-Bold" w:eastAsia="MicrosoftYaHei-Bold"/>
          <w:b/>
          <w:color w:val="auto"/>
          <w:sz w:val="24"/>
          <w:szCs w:val="22"/>
        </w:rPr>
        <w:t>远期取消现状从化水质净化厂</w:t>
      </w:r>
    </w:p>
    <w:p>
      <w:pPr>
        <w:ind w:firstLine="565"/>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eastAsia="zh-CN"/>
        </w:rPr>
        <w:t>从化水质净化厂位于从化街口镇从城大道西南侧、青云路和蓝田堤路交界处；处理规模1.6万吨/日，占地面积约1.3 公顷；一期工程采用A/O 生化处理工艺，二期采用改良A</w:t>
      </w:r>
      <w:r>
        <w:rPr>
          <w:rFonts w:hint="eastAsia" w:cs="宋体" w:asciiTheme="minorEastAsia" w:hAnsiTheme="minorEastAsia" w:eastAsiaTheme="minorEastAsia"/>
          <w:color w:val="auto"/>
          <w:sz w:val="28"/>
          <w:szCs w:val="21"/>
          <w:vertAlign w:val="superscript"/>
          <w:lang w:eastAsia="zh-CN"/>
        </w:rPr>
        <w:t>2</w:t>
      </w:r>
      <w:r>
        <w:rPr>
          <w:rFonts w:hint="eastAsia" w:cs="宋体" w:asciiTheme="minorEastAsia" w:hAnsiTheme="minorEastAsia" w:eastAsiaTheme="minorEastAsia"/>
          <w:color w:val="auto"/>
          <w:sz w:val="28"/>
          <w:szCs w:val="21"/>
          <w:lang w:eastAsia="zh-CN"/>
        </w:rPr>
        <w:t>/O 生化处理工艺，尾水排放执行国家一级B 排放标准，近期根据出水排放标准要求，需对从化水质净化厂进行提标改造。现状无预留用地，不具备扩容条件，河西污水处理系统污水量预测为：近期1.6万吨/日，中期1.65 万吨/日，远期2.3 万吨/日。超出从化水质净化厂处理规模，近中期超出部分的污水通过街口泵站提升至中心城区污水处理厂处理，远期取消水质净化厂，保留泵站。</w:t>
      </w:r>
    </w:p>
    <w:p>
      <w:pPr>
        <w:spacing w:beforeLines="0" w:afterLines="0"/>
        <w:jc w:val="center"/>
        <w:rPr>
          <w:rFonts w:hint="eastAsia" w:ascii="MicrosoftYaHei-Bold" w:hAnsi="MicrosoftYaHei-Bold" w:eastAsia="MicrosoftYaHei-Bold"/>
          <w:b/>
          <w:color w:val="auto"/>
          <w:sz w:val="21"/>
          <w:szCs w:val="24"/>
        </w:rPr>
      </w:pPr>
      <w:r>
        <w:rPr>
          <w:color w:val="auto"/>
        </w:rPr>
        <w:drawing>
          <wp:inline distT="0" distB="0" distL="114300" distR="114300">
            <wp:extent cx="3705225" cy="1495425"/>
            <wp:effectExtent l="0" t="0" r="9525" b="9525"/>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51"/>
                    <a:stretch>
                      <a:fillRect/>
                    </a:stretch>
                  </pic:blipFill>
                  <pic:spPr>
                    <a:xfrm>
                      <a:off x="0" y="0"/>
                      <a:ext cx="3705225" cy="1495425"/>
                    </a:xfrm>
                    <a:prstGeom prst="rect">
                      <a:avLst/>
                    </a:prstGeom>
                    <a:noFill/>
                    <a:ln>
                      <a:noFill/>
                    </a:ln>
                  </pic:spPr>
                </pic:pic>
              </a:graphicData>
            </a:graphic>
          </wp:inline>
        </w:drawing>
      </w:r>
    </w:p>
    <w:p>
      <w:pPr>
        <w:pStyle w:val="44"/>
        <w:numPr>
          <w:ilvl w:val="8"/>
          <w:numId w:val="9"/>
        </w:numPr>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从化水质净化厂用地情况</w:t>
      </w:r>
    </w:p>
    <w:p>
      <w:pPr>
        <w:ind w:firstLine="565"/>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eastAsia="zh-CN"/>
        </w:rPr>
        <w:t>从化水质净化厂用地为现状用地，土规为城镇用地，属于适建区；但现有控规未覆盖，建议控规阶段调整为污水处理设施用地U21，最终以控规批复为准。</w:t>
      </w:r>
    </w:p>
    <w:p>
      <w:pPr>
        <w:numPr>
          <w:ilvl w:val="0"/>
          <w:numId w:val="15"/>
        </w:numPr>
        <w:spacing w:beforeLines="0" w:afterLines="0"/>
        <w:jc w:val="left"/>
        <w:rPr>
          <w:rFonts w:hint="eastAsia" w:ascii="MicrosoftYaHei-Bold" w:hAnsi="MicrosoftYaHei-Bold" w:eastAsia="MicrosoftYaHei-Bold"/>
          <w:b/>
          <w:color w:val="auto"/>
          <w:sz w:val="24"/>
          <w:szCs w:val="22"/>
        </w:rPr>
      </w:pPr>
      <w:r>
        <w:rPr>
          <w:rFonts w:hint="eastAsia" w:ascii="MicrosoftYaHei-Bold" w:hAnsi="MicrosoftYaHei-Bold" w:eastAsia="MicrosoftYaHei-Bold"/>
          <w:b/>
          <w:color w:val="auto"/>
          <w:sz w:val="24"/>
          <w:szCs w:val="22"/>
        </w:rPr>
        <w:t>扩建中心城区污水处理厂</w:t>
      </w:r>
    </w:p>
    <w:p>
      <w:pPr>
        <w:ind w:firstLine="565"/>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eastAsia="zh-CN"/>
        </w:rPr>
        <w:t>中心城区污水处理厂位于江埔街南方村，现状设计处理能力为5 万吨/日，设计处理能力达到10 万吨/日，占地面积为10.6 公顷；一期采用改良型A2O 氧化沟+高效纤维滤池+人工湿地的深度处理工艺，尾水排放执行国家一级A 排放标准。</w:t>
      </w:r>
    </w:p>
    <w:p>
      <w:pPr>
        <w:ind w:firstLine="565"/>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eastAsia="zh-CN"/>
        </w:rPr>
        <w:t>根据污水分区污水量预测，中心城区污水处理厂收集城东分区和城北分区污水以及老城区分区部分的污水，近期污水量为近期6.75 万吨/日，中期8.29 万吨/日。现状用地可满足10 万吨/日建设需求。</w:t>
      </w:r>
    </w:p>
    <w:p>
      <w:pPr>
        <w:ind w:firstLine="565"/>
        <w:jc w:val="center"/>
        <w:rPr>
          <w:rFonts w:hint="eastAsia" w:cs="宋体" w:asciiTheme="minorEastAsia" w:hAnsiTheme="minorEastAsia" w:eastAsiaTheme="minorEastAsia"/>
          <w:color w:val="auto"/>
          <w:sz w:val="28"/>
          <w:szCs w:val="21"/>
          <w:lang w:eastAsia="zh-CN"/>
        </w:rPr>
      </w:pPr>
      <w:r>
        <w:rPr>
          <w:color w:val="auto"/>
        </w:rPr>
        <w:drawing>
          <wp:inline distT="0" distB="0" distL="114300" distR="114300">
            <wp:extent cx="4554220" cy="1871345"/>
            <wp:effectExtent l="0" t="0" r="17780" b="14605"/>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52"/>
                    <a:stretch>
                      <a:fillRect/>
                    </a:stretch>
                  </pic:blipFill>
                  <pic:spPr>
                    <a:xfrm>
                      <a:off x="0" y="0"/>
                      <a:ext cx="4554220" cy="1871345"/>
                    </a:xfrm>
                    <a:prstGeom prst="rect">
                      <a:avLst/>
                    </a:prstGeom>
                    <a:noFill/>
                    <a:ln>
                      <a:noFill/>
                    </a:ln>
                  </pic:spPr>
                </pic:pic>
              </a:graphicData>
            </a:graphic>
          </wp:inline>
        </w:drawing>
      </w:r>
    </w:p>
    <w:p>
      <w:pPr>
        <w:pStyle w:val="44"/>
        <w:numPr>
          <w:ilvl w:val="8"/>
          <w:numId w:val="9"/>
        </w:numPr>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中心城区污水处理用地情况</w:t>
      </w:r>
    </w:p>
    <w:p>
      <w:pPr>
        <w:ind w:firstLine="565"/>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eastAsia="zh-CN"/>
        </w:rPr>
        <w:t>中心城区污水处理厂为现状原址扩建并新增西侧用地；土规为城镇用地和园地，属于适建区；但现有控规未覆盖，建议控规阶段调整为污水处理设施用地U21，最终以控规批复为准。</w:t>
      </w:r>
    </w:p>
    <w:p>
      <w:pPr>
        <w:pStyle w:val="39"/>
        <w:numPr>
          <w:ilvl w:val="1"/>
          <w:numId w:val="9"/>
        </w:numPr>
        <w:rPr>
          <w:rFonts w:hint="eastAsia" w:cs="宋体"/>
          <w:color w:val="auto"/>
          <w:sz w:val="28"/>
          <w:szCs w:val="28"/>
          <w:lang w:eastAsia="zh-CN"/>
        </w:rPr>
      </w:pPr>
      <w:bookmarkStart w:id="36" w:name="_Toc25688"/>
      <w:r>
        <w:rPr>
          <w:rFonts w:hint="eastAsia" w:cs="宋体"/>
          <w:color w:val="auto"/>
          <w:sz w:val="28"/>
          <w:szCs w:val="28"/>
          <w:lang w:val="en-US" w:eastAsia="zh-CN"/>
        </w:rPr>
        <w:t>《广州市从化区排水管网雨污分流改造工作实施方案（2022-2025）》（2023年2月）</w:t>
      </w:r>
      <w:bookmarkEnd w:id="36"/>
    </w:p>
    <w:p>
      <w:pPr>
        <w:numPr>
          <w:ilvl w:val="0"/>
          <w:numId w:val="16"/>
        </w:numPr>
        <w:bidi w:val="0"/>
        <w:rPr>
          <w:rFonts w:hint="default" w:cs="宋体"/>
          <w:b/>
          <w:bCs/>
          <w:color w:val="auto"/>
          <w:lang w:val="en-US" w:eastAsia="zh-CN"/>
        </w:rPr>
      </w:pPr>
      <w:r>
        <w:rPr>
          <w:rFonts w:hint="eastAsia" w:cs="宋体"/>
          <w:b/>
          <w:bCs/>
          <w:color w:val="auto"/>
          <w:lang w:val="en-US" w:eastAsia="zh-CN"/>
        </w:rPr>
        <w:t>策划方案相关内容</w:t>
      </w:r>
    </w:p>
    <w:p>
      <w:pPr>
        <w:bidi w:val="0"/>
        <w:rPr>
          <w:rFonts w:hint="eastAsia" w:cs="宋体"/>
          <w:color w:val="auto"/>
          <w:lang w:eastAsia="zh-CN"/>
        </w:rPr>
      </w:pPr>
      <w:r>
        <w:rPr>
          <w:rFonts w:hint="eastAsia" w:cs="宋体"/>
          <w:color w:val="auto"/>
          <w:lang w:eastAsia="zh-CN"/>
        </w:rPr>
        <w:t>为响应从化区污水治理提质增效的工作需求，提高从化区各水系水质，拟完善周边单元配套管网建设及排水单元达标，从化区水务局</w:t>
      </w:r>
      <w:r>
        <w:rPr>
          <w:rFonts w:hint="eastAsia" w:cs="宋体"/>
          <w:color w:val="auto"/>
          <w:lang w:val="en-US" w:eastAsia="zh-CN"/>
        </w:rPr>
        <w:t>编制此</w:t>
      </w:r>
      <w:r>
        <w:rPr>
          <w:rFonts w:hint="eastAsia" w:cs="宋体"/>
          <w:color w:val="auto"/>
          <w:lang w:eastAsia="zh-CN"/>
        </w:rPr>
        <w:t>方案。此方案通过以下几点措施：</w:t>
      </w:r>
    </w:p>
    <w:p>
      <w:pPr>
        <w:bidi w:val="0"/>
        <w:rPr>
          <w:rFonts w:hint="eastAsia" w:cs="宋体"/>
          <w:color w:val="auto"/>
          <w:lang w:eastAsia="zh-CN"/>
        </w:rPr>
      </w:pPr>
      <w:r>
        <w:rPr>
          <w:rFonts w:hint="eastAsia" w:cs="宋体"/>
          <w:color w:val="auto"/>
          <w:lang w:eastAsia="zh-CN"/>
        </w:rPr>
        <w:t>（1）完善公共道路污水管网传输系统，为排水单元污水收集提供接驳条件，提高污水收集率，杜绝污水直排河涌。</w:t>
      </w:r>
    </w:p>
    <w:p>
      <w:pPr>
        <w:bidi w:val="0"/>
        <w:rPr>
          <w:rFonts w:hint="eastAsia" w:cs="宋体"/>
          <w:color w:val="auto"/>
          <w:lang w:eastAsia="zh-CN"/>
        </w:rPr>
      </w:pPr>
      <w:r>
        <w:rPr>
          <w:rFonts w:hint="eastAsia" w:cs="宋体"/>
          <w:color w:val="auto"/>
          <w:lang w:eastAsia="zh-CN"/>
        </w:rPr>
        <w:t>（2）完善无人管养小区、城中村、机关事业单位等区财政出资的排水单元的内部管网，并同时预留其他财政出资的排水单元的周边市政管网，达到单元内部雨污分流的目标。</w:t>
      </w:r>
    </w:p>
    <w:p>
      <w:pPr>
        <w:bidi w:val="0"/>
        <w:rPr>
          <w:rFonts w:hint="eastAsia" w:cs="宋体"/>
          <w:color w:val="auto"/>
          <w:lang w:eastAsia="zh-CN"/>
        </w:rPr>
      </w:pPr>
      <w:r>
        <w:rPr>
          <w:rFonts w:hint="eastAsia" w:cs="宋体"/>
          <w:color w:val="auto"/>
          <w:lang w:eastAsia="zh-CN"/>
        </w:rPr>
        <w:t>（3）针对现状内涝黑点，完善公共道路雨水通道，打通雨水排放系统，雨水直排河涌水系。</w:t>
      </w:r>
    </w:p>
    <w:p>
      <w:pPr>
        <w:bidi w:val="0"/>
        <w:rPr>
          <w:rFonts w:hint="eastAsia" w:cs="宋体"/>
          <w:color w:val="auto"/>
          <w:lang w:eastAsia="zh-CN"/>
        </w:rPr>
      </w:pPr>
      <w:r>
        <w:rPr>
          <w:rFonts w:hint="eastAsia" w:cs="宋体"/>
          <w:color w:val="auto"/>
          <w:lang w:eastAsia="zh-CN"/>
        </w:rPr>
        <w:t>（4）减少污水管网雨水水位，避免雨季污水管溢流，提高污水管网浓度，减轻污水处理厂运行负荷。</w:t>
      </w:r>
    </w:p>
    <w:p>
      <w:pPr>
        <w:bidi w:val="0"/>
        <w:rPr>
          <w:rFonts w:hint="eastAsia" w:cs="宋体"/>
          <w:color w:val="auto"/>
          <w:lang w:eastAsia="zh-CN"/>
        </w:rPr>
      </w:pPr>
      <w:r>
        <w:rPr>
          <w:rFonts w:hint="eastAsia" w:cs="宋体"/>
          <w:color w:val="auto"/>
          <w:lang w:eastAsia="zh-CN"/>
        </w:rPr>
        <w:t>方案制定了在河东片区实施分为8 个项目。工程新建d500~d800 公共污水管25433 米，新建d300~d1500 公共雨水管2510 米；排水单元改造36 个，面积63.26 公顷；排水管道隐患修复443 米；安装液动下开式堰门5 套；并沿途改造错混接（详见附表）。</w:t>
      </w:r>
    </w:p>
    <w:p>
      <w:pPr>
        <w:bidi w:val="0"/>
        <w:rPr>
          <w:rFonts w:hint="eastAsia" w:cs="宋体"/>
          <w:b/>
          <w:bCs/>
          <w:color w:val="auto"/>
          <w:lang w:val="en-US" w:eastAsia="zh-CN"/>
        </w:rPr>
      </w:pPr>
      <w:r>
        <w:rPr>
          <w:rFonts w:hint="eastAsia" w:cs="宋体"/>
          <w:b/>
          <w:bCs/>
          <w:color w:val="auto"/>
          <w:lang w:eastAsia="zh-CN"/>
        </w:rPr>
        <w:t>其中</w:t>
      </w:r>
      <w:r>
        <w:rPr>
          <w:rFonts w:hint="eastAsia" w:cs="宋体"/>
          <w:b/>
          <w:bCs/>
          <w:color w:val="auto"/>
          <w:lang w:val="en-US" w:eastAsia="zh-CN"/>
        </w:rPr>
        <w:t>Y523乡道新建污水管道为“从化区从化大道南片区雨污分流改造工程”其中一个子项（详见附表。）</w:t>
      </w:r>
    </w:p>
    <w:p>
      <w:pPr>
        <w:bidi w:val="0"/>
        <w:rPr>
          <w:rFonts w:hint="eastAsia" w:cs="宋体"/>
          <w:b/>
          <w:bCs/>
          <w:color w:val="auto"/>
          <w:lang w:val="en-US" w:eastAsia="zh-CN"/>
        </w:rPr>
      </w:pPr>
      <w:r>
        <w:rPr>
          <w:rFonts w:hint="eastAsia" w:cs="宋体"/>
          <w:b/>
          <w:bCs/>
          <w:color w:val="auto"/>
          <w:lang w:val="en-US" w:eastAsia="zh-CN"/>
        </w:rPr>
        <w:t>该策划方案目前已获区政府批复同意实施，文件依据详见前文第1章概述章节。</w:t>
      </w:r>
    </w:p>
    <w:p>
      <w:pPr>
        <w:pStyle w:val="41"/>
        <w:keepNext/>
        <w:keepLines w:val="0"/>
        <w:pageBreakBefore w:val="0"/>
        <w:widowControl w:val="0"/>
        <w:numPr>
          <w:ilvl w:val="7"/>
          <w:numId w:val="9"/>
        </w:numPr>
        <w:kinsoku/>
        <w:wordWrap/>
        <w:overflowPunct/>
        <w:topLinePunct w:val="0"/>
        <w:autoSpaceDE/>
        <w:autoSpaceDN/>
        <w:bidi w:val="0"/>
        <w:adjustRightInd/>
        <w:snapToGrid/>
        <w:ind w:left="0" w:leftChars="0" w:firstLine="0" w:firstLineChars="0"/>
        <w:textAlignment w:val="auto"/>
        <w:rPr>
          <w:rFonts w:hint="eastAsia"/>
          <w:color w:val="auto"/>
          <w:lang w:eastAsia="zh-CN"/>
        </w:rPr>
      </w:pPr>
      <w:r>
        <w:rPr>
          <w:rFonts w:hint="eastAsia"/>
          <w:color w:val="auto"/>
        </w:rPr>
        <w:t>中心城区（河东片区）项目清单表</w:t>
      </w:r>
    </w:p>
    <w:p>
      <w:pPr>
        <w:bidi w:val="0"/>
        <w:ind w:left="0" w:leftChars="0" w:firstLine="0" w:firstLineChars="0"/>
        <w:jc w:val="center"/>
        <w:rPr>
          <w:rFonts w:hint="eastAsia" w:cs="宋体"/>
          <w:color w:val="auto"/>
          <w:lang w:eastAsia="zh-CN"/>
        </w:rPr>
      </w:pPr>
      <w:r>
        <w:rPr>
          <w:color w:val="auto"/>
        </w:rPr>
        <w:drawing>
          <wp:inline distT="0" distB="0" distL="114300" distR="114300">
            <wp:extent cx="4455795" cy="4500245"/>
            <wp:effectExtent l="0" t="0" r="1905" b="14605"/>
            <wp:docPr id="5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5"/>
                    <pic:cNvPicPr>
                      <a:picLocks noChangeAspect="1"/>
                    </pic:cNvPicPr>
                  </pic:nvPicPr>
                  <pic:blipFill>
                    <a:blip r:embed="rId53"/>
                    <a:srcRect r="6118"/>
                    <a:stretch>
                      <a:fillRect/>
                    </a:stretch>
                  </pic:blipFill>
                  <pic:spPr>
                    <a:xfrm>
                      <a:off x="0" y="0"/>
                      <a:ext cx="4455795" cy="4500245"/>
                    </a:xfrm>
                    <a:prstGeom prst="rect">
                      <a:avLst/>
                    </a:prstGeom>
                    <a:noFill/>
                    <a:ln>
                      <a:noFill/>
                    </a:ln>
                  </pic:spPr>
                </pic:pic>
              </a:graphicData>
            </a:graphic>
          </wp:inline>
        </w:drawing>
      </w:r>
    </w:p>
    <w:p>
      <w:pPr>
        <w:pStyle w:val="41"/>
        <w:numPr>
          <w:ilvl w:val="7"/>
          <w:numId w:val="9"/>
        </w:numPr>
        <w:bidi w:val="0"/>
        <w:ind w:left="0" w:leftChars="0" w:firstLine="0" w:firstLineChars="0"/>
        <w:rPr>
          <w:rFonts w:hint="eastAsia"/>
          <w:color w:val="auto"/>
          <w:lang w:eastAsia="zh-CN"/>
        </w:rPr>
      </w:pPr>
      <w:r>
        <w:rPr>
          <w:rFonts w:hint="eastAsia"/>
          <w:color w:val="auto"/>
          <w:lang w:eastAsia="zh-CN"/>
        </w:rPr>
        <w:t>从化大道南片区公共污水管建设</w:t>
      </w:r>
      <w:r>
        <w:rPr>
          <w:rFonts w:hint="eastAsia"/>
          <w:color w:val="auto"/>
        </w:rPr>
        <w:t>项目清单表</w:t>
      </w:r>
    </w:p>
    <w:p>
      <w:pPr>
        <w:pStyle w:val="12"/>
        <w:jc w:val="center"/>
        <w:rPr>
          <w:color w:val="auto"/>
        </w:rPr>
      </w:pPr>
      <w:r>
        <w:rPr>
          <w:color w:val="auto"/>
        </w:rPr>
        <w:drawing>
          <wp:inline distT="0" distB="0" distL="114300" distR="114300">
            <wp:extent cx="4267200" cy="2943225"/>
            <wp:effectExtent l="0" t="0" r="0" b="0"/>
            <wp:docPr id="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
                    <pic:cNvPicPr>
                      <a:picLocks noChangeAspect="1"/>
                    </pic:cNvPicPr>
                  </pic:nvPicPr>
                  <pic:blipFill>
                    <a:blip r:embed="rId54"/>
                    <a:srcRect r="23939"/>
                    <a:stretch>
                      <a:fillRect/>
                    </a:stretch>
                  </pic:blipFill>
                  <pic:spPr>
                    <a:xfrm>
                      <a:off x="0" y="0"/>
                      <a:ext cx="4267200" cy="2943225"/>
                    </a:xfrm>
                    <a:prstGeom prst="rect">
                      <a:avLst/>
                    </a:prstGeom>
                    <a:noFill/>
                    <a:ln>
                      <a:noFill/>
                    </a:ln>
                  </pic:spPr>
                </pic:pic>
              </a:graphicData>
            </a:graphic>
          </wp:inline>
        </w:drawing>
      </w:r>
    </w:p>
    <w:p>
      <w:pPr>
        <w:pStyle w:val="38"/>
        <w:numPr>
          <w:ilvl w:val="0"/>
          <w:numId w:val="9"/>
        </w:numPr>
        <w:rPr>
          <w:rFonts w:hint="eastAsia" w:cs="宋体"/>
          <w:color w:val="auto"/>
          <w:sz w:val="32"/>
          <w:szCs w:val="40"/>
          <w:lang w:eastAsia="zh-CN"/>
        </w:rPr>
      </w:pPr>
      <w:bookmarkStart w:id="37" w:name="_Toc18717"/>
      <w:bookmarkStart w:id="38" w:name="_Toc518589252"/>
      <w:bookmarkStart w:id="39" w:name="_Toc511979813"/>
      <w:bookmarkStart w:id="40" w:name="_Toc511982350"/>
      <w:bookmarkStart w:id="41" w:name="_Toc15669"/>
      <w:bookmarkStart w:id="42" w:name="_Toc5940"/>
      <w:bookmarkStart w:id="43" w:name="_Toc4112"/>
      <w:r>
        <w:rPr>
          <w:rFonts w:hint="eastAsia" w:cs="宋体"/>
          <w:color w:val="auto"/>
          <w:sz w:val="32"/>
          <w:szCs w:val="40"/>
          <w:lang w:eastAsia="zh-CN"/>
        </w:rPr>
        <w:t>项目设计方案</w:t>
      </w:r>
      <w:bookmarkEnd w:id="37"/>
    </w:p>
    <w:bookmarkEnd w:id="38"/>
    <w:bookmarkEnd w:id="39"/>
    <w:bookmarkEnd w:id="40"/>
    <w:bookmarkEnd w:id="41"/>
    <w:bookmarkEnd w:id="42"/>
    <w:p>
      <w:pPr>
        <w:pStyle w:val="39"/>
        <w:numPr>
          <w:ilvl w:val="1"/>
          <w:numId w:val="9"/>
        </w:numPr>
        <w:rPr>
          <w:rFonts w:cs="宋体" w:asciiTheme="minorEastAsia" w:hAnsiTheme="minorEastAsia" w:eastAsiaTheme="minorEastAsia"/>
          <w:color w:val="auto"/>
          <w:sz w:val="28"/>
          <w:szCs w:val="28"/>
        </w:rPr>
      </w:pPr>
      <w:bookmarkStart w:id="44" w:name="_Toc15553"/>
      <w:r>
        <w:rPr>
          <w:rFonts w:hint="eastAsia" w:cs="宋体" w:asciiTheme="minorEastAsia" w:hAnsiTheme="minorEastAsia" w:eastAsiaTheme="minorEastAsia"/>
          <w:color w:val="auto"/>
          <w:sz w:val="28"/>
          <w:szCs w:val="28"/>
          <w:lang w:eastAsia="zh-CN"/>
        </w:rPr>
        <w:t>工程项目概况</w:t>
      </w:r>
      <w:bookmarkEnd w:id="44"/>
    </w:p>
    <w:p>
      <w:pPr>
        <w:pStyle w:val="40"/>
        <w:numPr>
          <w:ilvl w:val="2"/>
          <w:numId w:val="9"/>
        </w:numPr>
        <w:rPr>
          <w:rFonts w:cs="宋体" w:asciiTheme="minorEastAsia" w:hAnsiTheme="minorEastAsia" w:eastAsiaTheme="minorEastAsia"/>
          <w:color w:val="auto"/>
          <w:sz w:val="28"/>
          <w:szCs w:val="28"/>
        </w:rPr>
      </w:pPr>
      <w:r>
        <w:rPr>
          <w:rFonts w:hint="eastAsia" w:cs="宋体" w:asciiTheme="minorEastAsia" w:hAnsiTheme="minorEastAsia" w:eastAsiaTheme="minorEastAsia"/>
          <w:color w:val="auto"/>
          <w:sz w:val="28"/>
          <w:szCs w:val="28"/>
          <w:lang w:eastAsia="zh-CN"/>
        </w:rPr>
        <w:t>建设目标</w:t>
      </w:r>
    </w:p>
    <w:p>
      <w:pPr>
        <w:ind w:firstLine="565"/>
        <w:rPr>
          <w:rFonts w:asciiTheme="minorEastAsia" w:hAnsiTheme="minorEastAsia" w:eastAsiaTheme="minorEastAsia" w:cstheme="minorEastAsia"/>
          <w:color w:val="auto"/>
          <w:sz w:val="28"/>
          <w:szCs w:val="21"/>
        </w:rPr>
      </w:pPr>
      <w:r>
        <w:rPr>
          <w:rFonts w:hint="eastAsia" w:cs="宋体" w:asciiTheme="minorEastAsia" w:hAnsiTheme="minorEastAsia" w:eastAsiaTheme="minorEastAsia"/>
          <w:color w:val="auto"/>
          <w:sz w:val="28"/>
          <w:szCs w:val="21"/>
        </w:rPr>
        <w:t>本次工程旨在</w:t>
      </w:r>
      <w:r>
        <w:rPr>
          <w:rFonts w:hint="default" w:cs="宋体" w:asciiTheme="minorEastAsia" w:hAnsiTheme="minorEastAsia" w:eastAsiaTheme="minorEastAsia"/>
          <w:color w:val="auto"/>
          <w:sz w:val="28"/>
          <w:szCs w:val="21"/>
        </w:rPr>
        <w:t>解决</w:t>
      </w:r>
      <w:r>
        <w:rPr>
          <w:rFonts w:hint="eastAsia" w:cs="宋体" w:asciiTheme="minorEastAsia" w:hAnsiTheme="minorEastAsia" w:eastAsiaTheme="minorEastAsia"/>
          <w:color w:val="auto"/>
          <w:sz w:val="28"/>
          <w:szCs w:val="21"/>
          <w:lang w:eastAsia="zh-CN"/>
        </w:rPr>
        <w:t>Y523沿线雨污水分流</w:t>
      </w:r>
      <w:r>
        <w:rPr>
          <w:rFonts w:hint="default" w:cs="宋体" w:asciiTheme="minorEastAsia" w:hAnsiTheme="minorEastAsia" w:eastAsiaTheme="minorEastAsia"/>
          <w:color w:val="auto"/>
          <w:sz w:val="28"/>
          <w:szCs w:val="21"/>
          <w:lang w:eastAsia="zh-CN"/>
        </w:rPr>
        <w:t>问题</w:t>
      </w:r>
      <w:r>
        <w:rPr>
          <w:rFonts w:hint="eastAsia" w:cs="宋体" w:asciiTheme="minorEastAsia" w:hAnsiTheme="minorEastAsia" w:eastAsiaTheme="minorEastAsia"/>
          <w:color w:val="auto"/>
          <w:sz w:val="28"/>
          <w:szCs w:val="21"/>
        </w:rPr>
        <w:t>，</w:t>
      </w:r>
      <w:r>
        <w:rPr>
          <w:rFonts w:hint="eastAsia" w:cs="宋体" w:asciiTheme="minorEastAsia" w:hAnsiTheme="minorEastAsia" w:eastAsiaTheme="minorEastAsia"/>
          <w:color w:val="auto"/>
          <w:sz w:val="28"/>
          <w:szCs w:val="21"/>
          <w:lang w:eastAsia="zh-CN"/>
        </w:rPr>
        <w:t>通过新建市政道路上雨、污水</w:t>
      </w:r>
      <w:r>
        <w:rPr>
          <w:rFonts w:hint="default" w:cs="宋体" w:asciiTheme="minorEastAsia" w:hAnsiTheme="minorEastAsia" w:eastAsiaTheme="minorEastAsia"/>
          <w:color w:val="auto"/>
          <w:sz w:val="28"/>
          <w:szCs w:val="21"/>
          <w:lang w:eastAsia="zh-CN"/>
        </w:rPr>
        <w:t>管道</w:t>
      </w:r>
      <w:r>
        <w:rPr>
          <w:rFonts w:hint="eastAsia" w:cs="宋体" w:asciiTheme="minorEastAsia" w:hAnsiTheme="minorEastAsia" w:eastAsiaTheme="minorEastAsia"/>
          <w:color w:val="auto"/>
          <w:sz w:val="28"/>
          <w:szCs w:val="21"/>
          <w:lang w:eastAsia="zh-CN"/>
        </w:rPr>
        <w:t>，并对沿线的城中村、机关事业单位及学校同步</w:t>
      </w:r>
      <w:r>
        <w:rPr>
          <w:rFonts w:hint="default" w:cs="宋体" w:asciiTheme="minorEastAsia" w:hAnsiTheme="minorEastAsia" w:eastAsiaTheme="minorEastAsia"/>
          <w:color w:val="auto"/>
          <w:sz w:val="28"/>
          <w:szCs w:val="21"/>
          <w:lang w:eastAsia="zh-CN"/>
        </w:rPr>
        <w:t>进行</w:t>
      </w:r>
      <w:r>
        <w:rPr>
          <w:rFonts w:hint="eastAsia" w:cs="宋体" w:asciiTheme="minorEastAsia" w:hAnsiTheme="minorEastAsia" w:eastAsiaTheme="minorEastAsia"/>
          <w:color w:val="auto"/>
          <w:sz w:val="28"/>
          <w:szCs w:val="21"/>
          <w:lang w:eastAsia="zh-CN"/>
        </w:rPr>
        <w:t>的雨污分流工作，在主要路口和重点排水户预留污水接驳井，对市政管道的</w:t>
      </w:r>
      <w:r>
        <w:rPr>
          <w:rFonts w:hint="default" w:cs="宋体" w:asciiTheme="minorEastAsia" w:hAnsiTheme="minorEastAsia" w:eastAsiaTheme="minorEastAsia"/>
          <w:color w:val="auto"/>
          <w:sz w:val="28"/>
          <w:szCs w:val="21"/>
          <w:lang w:eastAsia="zh-CN"/>
        </w:rPr>
        <w:t>结构</w:t>
      </w:r>
      <w:r>
        <w:rPr>
          <w:rFonts w:hint="eastAsia" w:cs="宋体" w:asciiTheme="minorEastAsia" w:hAnsiTheme="minorEastAsia" w:eastAsiaTheme="minorEastAsia"/>
          <w:color w:val="auto"/>
          <w:sz w:val="28"/>
          <w:szCs w:val="21"/>
          <w:lang w:eastAsia="zh-CN"/>
        </w:rPr>
        <w:t>缺陷进行修复，并</w:t>
      </w:r>
      <w:r>
        <w:rPr>
          <w:rFonts w:hint="eastAsia" w:cs="宋体" w:asciiTheme="minorEastAsia" w:hAnsiTheme="minorEastAsia" w:eastAsiaTheme="minorEastAsia"/>
          <w:color w:val="auto"/>
          <w:sz w:val="28"/>
          <w:szCs w:val="21"/>
        </w:rPr>
        <w:t>对</w:t>
      </w:r>
      <w:r>
        <w:rPr>
          <w:rFonts w:hint="eastAsia" w:cs="宋体" w:asciiTheme="minorEastAsia" w:hAnsiTheme="minorEastAsia" w:eastAsiaTheme="minorEastAsia"/>
          <w:color w:val="auto"/>
          <w:sz w:val="28"/>
          <w:szCs w:val="21"/>
          <w:lang w:eastAsia="zh-CN"/>
        </w:rPr>
        <w:t>错混接的管道进行</w:t>
      </w:r>
      <w:r>
        <w:rPr>
          <w:rFonts w:hint="default" w:cs="宋体" w:asciiTheme="minorEastAsia" w:hAnsiTheme="minorEastAsia" w:eastAsiaTheme="minorEastAsia"/>
          <w:color w:val="auto"/>
          <w:sz w:val="28"/>
          <w:szCs w:val="21"/>
          <w:lang w:eastAsia="zh-CN"/>
        </w:rPr>
        <w:t>整改。</w:t>
      </w:r>
      <w:r>
        <w:rPr>
          <w:rFonts w:hint="eastAsia" w:cs="宋体" w:asciiTheme="minorEastAsia" w:hAnsiTheme="minorEastAsia" w:eastAsiaTheme="minorEastAsia"/>
          <w:color w:val="auto"/>
          <w:sz w:val="28"/>
          <w:szCs w:val="21"/>
          <w:lang w:eastAsia="zh-CN"/>
        </w:rPr>
        <w:t>本工程对Y523片区生活</w:t>
      </w:r>
      <w:r>
        <w:rPr>
          <w:rFonts w:hint="eastAsia" w:cs="宋体" w:asciiTheme="minorEastAsia" w:hAnsiTheme="minorEastAsia" w:eastAsiaTheme="minorEastAsia"/>
          <w:color w:val="auto"/>
          <w:sz w:val="28"/>
          <w:szCs w:val="21"/>
        </w:rPr>
        <w:t>环境的改善</w:t>
      </w:r>
      <w:r>
        <w:rPr>
          <w:rFonts w:hint="eastAsia" w:cs="宋体" w:asciiTheme="minorEastAsia" w:hAnsiTheme="minorEastAsia" w:eastAsiaTheme="minorEastAsia"/>
          <w:color w:val="auto"/>
          <w:sz w:val="28"/>
          <w:szCs w:val="21"/>
          <w:lang w:eastAsia="zh-CN"/>
        </w:rPr>
        <w:t>、流溪河与小海河生态系统的修复、排水单元达标工作的创建、</w:t>
      </w:r>
      <w:r>
        <w:rPr>
          <w:rFonts w:hint="default" w:cs="宋体" w:asciiTheme="minorEastAsia" w:hAnsiTheme="minorEastAsia" w:eastAsiaTheme="minorEastAsia"/>
          <w:color w:val="auto"/>
          <w:sz w:val="28"/>
          <w:szCs w:val="21"/>
          <w:lang w:eastAsia="zh-CN"/>
        </w:rPr>
        <w:t>污水厂的正常运行</w:t>
      </w:r>
      <w:r>
        <w:rPr>
          <w:rFonts w:hint="eastAsia" w:cs="宋体" w:asciiTheme="minorEastAsia" w:hAnsiTheme="minorEastAsia" w:eastAsiaTheme="minorEastAsia"/>
          <w:color w:val="auto"/>
          <w:sz w:val="28"/>
          <w:szCs w:val="21"/>
          <w:lang w:eastAsia="zh-CN"/>
        </w:rPr>
        <w:t>、</w:t>
      </w:r>
      <w:r>
        <w:rPr>
          <w:rFonts w:hint="eastAsia" w:cs="宋体" w:asciiTheme="minorEastAsia" w:hAnsiTheme="minorEastAsia" w:eastAsiaTheme="minorEastAsia"/>
          <w:color w:val="auto"/>
          <w:sz w:val="28"/>
          <w:szCs w:val="21"/>
        </w:rPr>
        <w:t>农村宜居环境建设和美丽乡村建设都有着很好的促进作用。</w:t>
      </w:r>
    </w:p>
    <w:p>
      <w:pPr>
        <w:pStyle w:val="40"/>
        <w:numPr>
          <w:ilvl w:val="2"/>
          <w:numId w:val="9"/>
        </w:numPr>
        <w:rPr>
          <w:rFonts w:hint="eastAsia" w:cs="宋体" w:asciiTheme="minorEastAsia" w:hAnsiTheme="minorEastAsia" w:eastAsiaTheme="minorEastAsia"/>
          <w:color w:val="auto"/>
          <w:sz w:val="28"/>
          <w:szCs w:val="28"/>
          <w:lang w:eastAsia="zh-CN"/>
        </w:rPr>
      </w:pPr>
      <w:bookmarkStart w:id="45" w:name="_Toc10455"/>
      <w:r>
        <w:rPr>
          <w:rFonts w:hint="eastAsia" w:cs="宋体" w:asciiTheme="minorEastAsia" w:hAnsiTheme="minorEastAsia" w:eastAsiaTheme="minorEastAsia"/>
          <w:color w:val="auto"/>
          <w:sz w:val="28"/>
          <w:szCs w:val="28"/>
          <w:lang w:eastAsia="zh-CN"/>
        </w:rPr>
        <w:t>基本原则</w:t>
      </w:r>
      <w:bookmarkEnd w:id="45"/>
    </w:p>
    <w:p>
      <w:pPr>
        <w:ind w:firstLine="565"/>
        <w:rPr>
          <w:rFonts w:asciiTheme="minorEastAsia" w:hAnsiTheme="minorEastAsia" w:eastAsiaTheme="minorEastAsia" w:cstheme="minorEastAsia"/>
          <w:color w:val="auto"/>
          <w:sz w:val="28"/>
          <w:szCs w:val="21"/>
        </w:rPr>
      </w:pPr>
      <w:r>
        <w:rPr>
          <w:rFonts w:hint="eastAsia" w:asciiTheme="minorEastAsia" w:hAnsiTheme="minorEastAsia" w:eastAsiaTheme="minorEastAsia" w:cstheme="minorEastAsia"/>
          <w:color w:val="auto"/>
          <w:sz w:val="28"/>
          <w:szCs w:val="21"/>
        </w:rPr>
        <w:t>本设计方案编制遵循以下原则：</w:t>
      </w:r>
    </w:p>
    <w:p>
      <w:pPr>
        <w:ind w:firstLine="565"/>
        <w:rPr>
          <w:rFonts w:asciiTheme="minorEastAsia" w:hAnsiTheme="minorEastAsia" w:eastAsiaTheme="minorEastAsia" w:cstheme="minorEastAsia"/>
          <w:color w:val="auto"/>
          <w:sz w:val="28"/>
          <w:szCs w:val="21"/>
        </w:rPr>
      </w:pPr>
      <w:r>
        <w:rPr>
          <w:rFonts w:hint="eastAsia" w:asciiTheme="minorEastAsia" w:hAnsiTheme="minorEastAsia" w:eastAsiaTheme="minorEastAsia" w:cstheme="minorEastAsia"/>
          <w:color w:val="auto"/>
          <w:sz w:val="28"/>
          <w:szCs w:val="21"/>
        </w:rPr>
        <w:t>规划与现状相结合</w:t>
      </w:r>
      <w:r>
        <w:rPr>
          <w:rFonts w:hint="eastAsia" w:asciiTheme="minorEastAsia" w:hAnsiTheme="minorEastAsia" w:eastAsiaTheme="minorEastAsia" w:cstheme="minorEastAsia"/>
          <w:color w:val="auto"/>
          <w:sz w:val="28"/>
          <w:szCs w:val="21"/>
          <w:lang w:eastAsia="zh-CN"/>
        </w:rPr>
        <w:t>，</w:t>
      </w:r>
      <w:r>
        <w:rPr>
          <w:rFonts w:hint="eastAsia" w:asciiTheme="minorEastAsia" w:hAnsiTheme="minorEastAsia" w:eastAsiaTheme="minorEastAsia" w:cstheme="minorEastAsia"/>
          <w:color w:val="auto"/>
          <w:sz w:val="28"/>
          <w:szCs w:val="21"/>
        </w:rPr>
        <w:t>本项目以现有规划资料为基础，结合污水系统管网现状，充分考虑与现有管网系统和拟设计管网的衔接，并综合考虑现场的施工条件及可行性，制定污水管道的走向方案。</w:t>
      </w:r>
    </w:p>
    <w:p>
      <w:pPr>
        <w:ind w:firstLine="565"/>
        <w:rPr>
          <w:rFonts w:asciiTheme="minorEastAsia" w:hAnsiTheme="minorEastAsia" w:eastAsiaTheme="minorEastAsia" w:cstheme="minorEastAsia"/>
          <w:color w:val="auto"/>
          <w:sz w:val="28"/>
          <w:szCs w:val="21"/>
        </w:rPr>
      </w:pPr>
      <w:r>
        <w:rPr>
          <w:rFonts w:hint="eastAsia" w:asciiTheme="minorEastAsia" w:hAnsiTheme="minorEastAsia" w:eastAsiaTheme="minorEastAsia" w:cstheme="minorEastAsia"/>
          <w:color w:val="auto"/>
          <w:sz w:val="28"/>
          <w:szCs w:val="21"/>
        </w:rPr>
        <w:t>综合考虑地形、经济等因素根据施工现场的地形、各类地下建筑及其他障碍物等情况，考虑现场的实施条件及实施难度，制定</w:t>
      </w:r>
      <w:r>
        <w:rPr>
          <w:rFonts w:hint="eastAsia" w:asciiTheme="minorEastAsia" w:hAnsiTheme="minorEastAsia" w:eastAsiaTheme="minorEastAsia" w:cstheme="minorEastAsia"/>
          <w:color w:val="auto"/>
          <w:sz w:val="28"/>
          <w:szCs w:val="21"/>
          <w:lang w:eastAsia="zh-CN"/>
        </w:rPr>
        <w:t>管道工程设计方案</w:t>
      </w:r>
      <w:r>
        <w:rPr>
          <w:rFonts w:hint="eastAsia" w:asciiTheme="minorEastAsia" w:hAnsiTheme="minorEastAsia" w:eastAsiaTheme="minorEastAsia" w:cstheme="minorEastAsia"/>
          <w:color w:val="auto"/>
          <w:sz w:val="28"/>
          <w:szCs w:val="21"/>
        </w:rPr>
        <w:t>，确定经济可行的工程方案。</w:t>
      </w:r>
    </w:p>
    <w:p>
      <w:pPr>
        <w:ind w:firstLine="565"/>
        <w:rPr>
          <w:rFonts w:cs="宋体"/>
          <w:color w:val="auto"/>
          <w:sz w:val="28"/>
          <w:szCs w:val="21"/>
        </w:rPr>
      </w:pPr>
      <w:r>
        <w:rPr>
          <w:rFonts w:hint="eastAsia" w:asciiTheme="minorEastAsia" w:hAnsiTheme="minorEastAsia" w:eastAsiaTheme="minorEastAsia" w:cstheme="minorEastAsia"/>
          <w:color w:val="auto"/>
          <w:sz w:val="28"/>
          <w:szCs w:val="21"/>
        </w:rPr>
        <w:t>近远期</w:t>
      </w:r>
      <w:r>
        <w:rPr>
          <w:rFonts w:hint="eastAsia" w:asciiTheme="minorEastAsia" w:hAnsiTheme="minorEastAsia" w:eastAsiaTheme="minorEastAsia" w:cstheme="minorEastAsia"/>
          <w:color w:val="auto"/>
          <w:sz w:val="28"/>
          <w:szCs w:val="21"/>
          <w:lang w:eastAsia="zh-CN"/>
        </w:rPr>
        <w:t>相</w:t>
      </w:r>
      <w:r>
        <w:rPr>
          <w:rFonts w:hint="eastAsia" w:asciiTheme="minorEastAsia" w:hAnsiTheme="minorEastAsia" w:eastAsiaTheme="minorEastAsia" w:cstheme="minorEastAsia"/>
          <w:color w:val="auto"/>
          <w:sz w:val="28"/>
          <w:szCs w:val="21"/>
        </w:rPr>
        <w:t>结合原则</w:t>
      </w:r>
      <w:r>
        <w:rPr>
          <w:rFonts w:hint="eastAsia" w:asciiTheme="minorEastAsia" w:hAnsiTheme="minorEastAsia" w:eastAsiaTheme="minorEastAsia" w:cstheme="minorEastAsia"/>
          <w:color w:val="auto"/>
          <w:sz w:val="28"/>
          <w:szCs w:val="21"/>
          <w:lang w:eastAsia="zh-CN"/>
        </w:rPr>
        <w:t>，</w:t>
      </w:r>
      <w:r>
        <w:rPr>
          <w:rFonts w:hint="eastAsia" w:asciiTheme="minorEastAsia" w:hAnsiTheme="minorEastAsia" w:eastAsiaTheme="minorEastAsia" w:cstheme="minorEastAsia"/>
          <w:color w:val="auto"/>
          <w:sz w:val="28"/>
          <w:szCs w:val="21"/>
        </w:rPr>
        <w:t>污水管道的布置和设计充分考虑污水处理系统的近远期情况，根据近远期的工况设计污水管道，并为远期发展预留一定的余地。</w:t>
      </w:r>
    </w:p>
    <w:p>
      <w:pPr>
        <w:pStyle w:val="40"/>
        <w:numPr>
          <w:ilvl w:val="2"/>
          <w:numId w:val="9"/>
        </w:numPr>
        <w:rPr>
          <w:rFonts w:hint="eastAsia" w:ascii="宋体" w:hAnsi="宋体" w:eastAsia="宋体" w:cs="宋体"/>
          <w:color w:val="auto"/>
          <w:kern w:val="2"/>
          <w:sz w:val="28"/>
          <w:szCs w:val="22"/>
          <w:lang w:val="en-US" w:eastAsia="zh-CN" w:bidi="ar-SA"/>
        </w:rPr>
      </w:pPr>
      <w:bookmarkStart w:id="46" w:name="_Toc5759"/>
      <w:r>
        <w:rPr>
          <w:rFonts w:hint="eastAsia" w:ascii="宋体" w:hAnsi="宋体" w:eastAsia="宋体" w:cs="宋体"/>
          <w:color w:val="auto"/>
          <w:kern w:val="2"/>
          <w:sz w:val="28"/>
          <w:szCs w:val="22"/>
          <w:lang w:val="en-US" w:eastAsia="zh-CN" w:bidi="ar-SA"/>
        </w:rPr>
        <w:t>排水体制</w:t>
      </w:r>
      <w:bookmarkEnd w:id="46"/>
    </w:p>
    <w:p>
      <w:pPr>
        <w:ind w:firstLine="565"/>
        <w:rPr>
          <w:rFonts w:hint="eastAsia"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实施雨污分流管网建设，新建污水收集系统，实现</w:t>
      </w:r>
      <w:r>
        <w:rPr>
          <w:rFonts w:hint="eastAsia" w:cs="宋体" w:asciiTheme="minorEastAsia" w:hAnsiTheme="minorEastAsia" w:eastAsiaTheme="minorEastAsia"/>
          <w:color w:val="auto"/>
          <w:sz w:val="28"/>
          <w:szCs w:val="21"/>
          <w:lang w:eastAsia="zh-CN"/>
        </w:rPr>
        <w:t>污水单独排放</w:t>
      </w:r>
      <w:r>
        <w:rPr>
          <w:rFonts w:hint="eastAsia" w:cs="宋体" w:asciiTheme="minorEastAsia" w:hAnsiTheme="minorEastAsia" w:eastAsiaTheme="minorEastAsia"/>
          <w:color w:val="auto"/>
          <w:sz w:val="28"/>
          <w:szCs w:val="21"/>
        </w:rPr>
        <w:t>；雨水通过管、渠、边沟或漫流排放。</w:t>
      </w:r>
    </w:p>
    <w:p>
      <w:pPr>
        <w:pStyle w:val="40"/>
        <w:numPr>
          <w:ilvl w:val="2"/>
          <w:numId w:val="9"/>
        </w:numPr>
        <w:bidi w:val="0"/>
        <w:rPr>
          <w:rFonts w:hint="eastAsia" w:ascii="宋体" w:hAnsi="宋体" w:eastAsia="宋体" w:cs="宋体"/>
          <w:color w:val="auto"/>
          <w:kern w:val="2"/>
          <w:sz w:val="28"/>
          <w:szCs w:val="22"/>
          <w:lang w:val="en-US" w:eastAsia="zh-CN" w:bidi="ar-SA"/>
        </w:rPr>
      </w:pPr>
      <w:r>
        <w:rPr>
          <w:rFonts w:hint="eastAsia" w:ascii="宋体" w:hAnsi="宋体" w:eastAsia="宋体" w:cs="宋体"/>
          <w:color w:val="auto"/>
          <w:kern w:val="2"/>
          <w:sz w:val="28"/>
          <w:szCs w:val="22"/>
          <w:lang w:val="en-US" w:eastAsia="zh-CN" w:bidi="ar-SA"/>
        </w:rPr>
        <w:t>总体思路</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1、排水单元</w:t>
      </w:r>
    </w:p>
    <w:p>
      <w:pPr>
        <w:bidi w:val="0"/>
        <w:rPr>
          <w:rFonts w:hint="default"/>
          <w:color w:val="auto"/>
          <w:lang w:val="en-US"/>
        </w:rPr>
      </w:pPr>
      <w:r>
        <w:rPr>
          <w:rFonts w:hint="default"/>
          <w:color w:val="auto"/>
          <w:lang w:val="en-US"/>
        </w:rPr>
        <w:t>通过排水改造，原则上应新建一套接管到户的污水独立收集管网，初步实现雨污分流。在充分调查清楚</w:t>
      </w:r>
      <w:r>
        <w:rPr>
          <w:rFonts w:hint="eastAsia"/>
          <w:color w:val="auto"/>
          <w:lang w:val="en-US" w:eastAsia="zh-CN"/>
        </w:rPr>
        <w:t>内部</w:t>
      </w:r>
      <w:r>
        <w:rPr>
          <w:rFonts w:hint="default"/>
          <w:color w:val="auto"/>
          <w:lang w:val="en-US"/>
        </w:rPr>
        <w:t>现有排水管网状况的基础上，经论证可满足污水独立收集要求等治理目标的，也可考虑新建雨水管渠来实现雨污分流。对分流区域排水管进行保留，疏理雨污水系统混接问题。对建筑合流立管进行改造，新建雨污分流立管接天面雨水斗，现状合流立管改造为污水立管，使建筑排水系统实现雨污分流。</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200"/>
        <w:textAlignment w:val="auto"/>
        <w:rPr>
          <w:rFonts w:hint="default"/>
          <w:color w:val="auto"/>
          <w:lang w:val="en-US" w:eastAsia="zh-CN"/>
        </w:rPr>
      </w:pPr>
      <w:r>
        <w:rPr>
          <w:rFonts w:hint="eastAsia" w:ascii="宋体" w:hAnsi="宋体" w:eastAsia="宋体" w:cs="宋体"/>
          <w:color w:val="auto"/>
          <w:lang w:val="en-US" w:eastAsia="zh-CN"/>
        </w:rPr>
        <w:t>2</w:t>
      </w:r>
      <w:r>
        <w:rPr>
          <w:rFonts w:hint="eastAsia"/>
          <w:color w:val="auto"/>
          <w:lang w:val="en-US" w:eastAsia="zh-CN"/>
        </w:rPr>
        <w:t>、公共管网</w:t>
      </w:r>
    </w:p>
    <w:p>
      <w:pPr>
        <w:bidi w:val="0"/>
        <w:rPr>
          <w:rFonts w:hint="default"/>
          <w:color w:val="auto"/>
          <w:lang w:val="en-US"/>
        </w:rPr>
      </w:pPr>
      <w:r>
        <w:rPr>
          <w:rFonts w:hint="default"/>
          <w:color w:val="auto"/>
          <w:lang w:val="en-US"/>
        </w:rPr>
        <w:t>补短板，完善排水单元与市政排水系统毛细血管，为排水单元接驳提供先决条件。针对内涝点，进行积水成因分析，并提出解决方案，提升周围居民生活质量及安全系数。</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lang w:val="en-US" w:eastAsia="zh-CN"/>
        </w:rPr>
      </w:pPr>
      <w:r>
        <w:rPr>
          <w:rFonts w:hint="eastAsia" w:ascii="宋体" w:hAnsi="宋体" w:eastAsia="宋体" w:cs="宋体"/>
          <w:color w:val="auto"/>
          <w:lang w:val="en-US" w:eastAsia="zh-CN"/>
        </w:rPr>
        <w:t>3</w:t>
      </w:r>
      <w:r>
        <w:rPr>
          <w:rFonts w:hint="eastAsia"/>
          <w:color w:val="auto"/>
          <w:lang w:val="en-US" w:eastAsia="zh-CN"/>
        </w:rPr>
        <w:t>、管网修复</w:t>
      </w:r>
    </w:p>
    <w:p>
      <w:pPr>
        <w:bidi w:val="0"/>
        <w:rPr>
          <w:rFonts w:hint="default"/>
          <w:color w:val="auto"/>
          <w:lang w:val="en-US"/>
        </w:rPr>
      </w:pPr>
      <w:r>
        <w:rPr>
          <w:rFonts w:hint="default"/>
          <w:color w:val="auto"/>
          <w:lang w:val="en-US"/>
        </w:rPr>
        <w:t>修复排水管道的方法包含开挖式修复和非开挖式修复。根据管道结构性缺陷评估结论，结合管道使用年龄、发生事故的几率和事故的影响程度，判断管道修复必要性和优先性。当地下埋设管线、交通条件、周围环境等因素不具备开挖施工条件，而符合非开挖修复条件时，可在满足修复后管道的流量要求的前提下优先考虑采用非开挖修复方法。</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lang w:val="en-US" w:eastAsia="zh-CN"/>
        </w:rPr>
      </w:pPr>
      <w:r>
        <w:rPr>
          <w:rFonts w:hint="eastAsia" w:ascii="宋体" w:hAnsi="宋体" w:eastAsia="宋体" w:cs="宋体"/>
          <w:color w:val="auto"/>
          <w:lang w:val="en-US" w:eastAsia="zh-CN"/>
        </w:rPr>
        <w:t>4</w:t>
      </w:r>
      <w:r>
        <w:rPr>
          <w:rFonts w:hint="eastAsia"/>
          <w:color w:val="auto"/>
          <w:lang w:val="en-US" w:eastAsia="zh-CN"/>
        </w:rPr>
        <w:t>、错混接改造</w:t>
      </w:r>
    </w:p>
    <w:p>
      <w:pPr>
        <w:bidi w:val="0"/>
        <w:rPr>
          <w:rFonts w:hint="eastAsia" w:ascii="宋体" w:hAnsi="宋体" w:eastAsia="宋体" w:cs="宋体"/>
          <w:color w:val="auto"/>
          <w:lang w:val="en-US"/>
        </w:rPr>
      </w:pPr>
      <w:r>
        <w:rPr>
          <w:rFonts w:hint="default"/>
          <w:color w:val="auto"/>
          <w:lang w:val="en-US"/>
        </w:rPr>
        <w:t>部分已分流的片区排水系统存在雨污混流现象，造成污水处理厂通常收集不到足够的污水量，雨季时又有大量雨水流入，需要针对局部存在错接、混接的点进行改造。</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5、排水口治理</w:t>
      </w:r>
    </w:p>
    <w:p>
      <w:pPr>
        <w:bidi w:val="0"/>
        <w:rPr>
          <w:color w:val="auto"/>
        </w:rPr>
      </w:pPr>
      <w:r>
        <w:rPr>
          <w:rFonts w:hint="eastAsia"/>
          <w:color w:val="auto"/>
          <w:lang w:val="en-US" w:eastAsia="zh-CN"/>
        </w:rPr>
        <w:t>分流制污水直排排水口治理：根据《城市黑臭水体整治</w:t>
      </w:r>
      <w:r>
        <w:rPr>
          <w:rFonts w:hint="default"/>
          <w:color w:val="auto"/>
          <w:lang w:val="en-US" w:eastAsia="zh-CN"/>
        </w:rPr>
        <w:t>——</w:t>
      </w:r>
      <w:r>
        <w:rPr>
          <w:rFonts w:hint="eastAsia"/>
          <w:color w:val="auto"/>
          <w:lang w:val="en-US" w:eastAsia="zh-CN"/>
        </w:rPr>
        <w:t>排水口、管道及检查井治理技术指南（试行）》（建城函〔</w:t>
      </w:r>
      <w:r>
        <w:rPr>
          <w:rFonts w:hint="default"/>
          <w:color w:val="auto"/>
          <w:lang w:val="en-US" w:eastAsia="zh-CN"/>
        </w:rPr>
        <w:t>2016</w:t>
      </w:r>
      <w:r>
        <w:rPr>
          <w:rFonts w:hint="eastAsia"/>
          <w:color w:val="auto"/>
          <w:lang w:val="en-US" w:eastAsia="zh-CN"/>
        </w:rPr>
        <w:t>〕</w:t>
      </w:r>
      <w:r>
        <w:rPr>
          <w:rFonts w:hint="default"/>
          <w:color w:val="auto"/>
          <w:lang w:val="en-US" w:eastAsia="zh-CN"/>
        </w:rPr>
        <w:t xml:space="preserve">198 </w:t>
      </w:r>
      <w:r>
        <w:rPr>
          <w:rFonts w:hint="eastAsia"/>
          <w:color w:val="auto"/>
          <w:lang w:val="en-US" w:eastAsia="zh-CN"/>
        </w:rPr>
        <w:t xml:space="preserve">号），分流制污水直排排水口必须予以封堵，将污水接入污水处理系统，经处理达标后排放。 </w:t>
      </w:r>
    </w:p>
    <w:p>
      <w:pPr>
        <w:bidi w:val="0"/>
        <w:rPr>
          <w:color w:val="auto"/>
        </w:rPr>
      </w:pPr>
      <w:r>
        <w:rPr>
          <w:rFonts w:hint="eastAsia"/>
          <w:color w:val="auto"/>
          <w:lang w:val="en-US" w:eastAsia="zh-CN"/>
        </w:rPr>
        <w:t>分流制雨污混接雨水直排排水口治理：分流制雨污混接雨水直流排水口不能简单地封堵，应在重点实施排水管道雨污混接改造的同时，增设混接污水截流管道或设置截污调蓄池，截流的混接污水送入城镇污水处理厂处理或就地处理。排水口改造时，应采取防河湖海水倒灌措施。</w:t>
      </w:r>
    </w:p>
    <w:p>
      <w:pPr>
        <w:bidi w:val="0"/>
        <w:rPr>
          <w:color w:val="auto"/>
        </w:rPr>
      </w:pPr>
      <w:r>
        <w:rPr>
          <w:rFonts w:hint="eastAsia"/>
          <w:color w:val="auto"/>
          <w:lang w:val="en-US" w:eastAsia="zh-CN"/>
        </w:rPr>
        <w:t>合流制直排排水口治理：合流制直排排水口应按照截流式合流制的要求增设截流设施，截流污水接入污水处理系统，经处理后达标排放。排水口改造时，要采取防河湖海水倒灌措施，并设置截污限流设施。</w:t>
      </w:r>
    </w:p>
    <w:p>
      <w:pPr>
        <w:bidi w:val="0"/>
        <w:rPr>
          <w:rFonts w:hint="eastAsia"/>
          <w:color w:val="auto"/>
          <w:lang w:val="en-US" w:eastAsia="zh-CN"/>
        </w:rPr>
      </w:pPr>
      <w:r>
        <w:rPr>
          <w:rFonts w:hint="eastAsia"/>
          <w:color w:val="auto"/>
          <w:lang w:val="en-US" w:eastAsia="zh-CN"/>
        </w:rPr>
        <w:t>合流制截流溢流排水口治理：（</w:t>
      </w:r>
      <w:r>
        <w:rPr>
          <w:rFonts w:hint="default"/>
          <w:color w:val="auto"/>
          <w:lang w:val="en-US" w:eastAsia="zh-CN"/>
        </w:rPr>
        <w:t>1</w:t>
      </w:r>
      <w:r>
        <w:rPr>
          <w:rFonts w:hint="eastAsia"/>
          <w:color w:val="auto"/>
          <w:lang w:val="en-US" w:eastAsia="zh-CN"/>
        </w:rPr>
        <w:t>）应有效提高合流制截流系统的截流倍数，保证旱天不向水体溢流。（</w:t>
      </w:r>
      <w:r>
        <w:rPr>
          <w:rFonts w:hint="default"/>
          <w:color w:val="auto"/>
          <w:lang w:val="en-US" w:eastAsia="zh-CN"/>
        </w:rPr>
        <w:t>2</w:t>
      </w:r>
      <w:r>
        <w:rPr>
          <w:rFonts w:hint="eastAsia"/>
          <w:color w:val="auto"/>
          <w:lang w:val="en-US" w:eastAsia="zh-CN"/>
        </w:rPr>
        <w:t>）采用分散调蓄措施，调蓄池的有效容积应根据当地降雨特征、受纳水体的环境容量、排水系统截流倍数、旱天污水量、初期雨水水质水量特征、排水系统服务面积、区域径流系数和下游污水系统的余量等因素综合考虑后确定。</w:t>
      </w:r>
    </w:p>
    <w:p>
      <w:pPr>
        <w:pStyle w:val="40"/>
        <w:numPr>
          <w:ilvl w:val="2"/>
          <w:numId w:val="9"/>
        </w:numPr>
        <w:rPr>
          <w:rFonts w:hint="eastAsia" w:cs="宋体" w:asciiTheme="minorEastAsia" w:hAnsiTheme="minorEastAsia" w:eastAsiaTheme="minorEastAsia"/>
          <w:color w:val="auto"/>
          <w:sz w:val="28"/>
          <w:szCs w:val="28"/>
          <w:lang w:eastAsia="zh-CN"/>
        </w:rPr>
      </w:pPr>
      <w:r>
        <w:rPr>
          <w:rFonts w:hint="eastAsia" w:cs="宋体" w:asciiTheme="minorEastAsia" w:hAnsiTheme="minorEastAsia" w:eastAsiaTheme="minorEastAsia"/>
          <w:color w:val="auto"/>
          <w:sz w:val="28"/>
          <w:szCs w:val="28"/>
          <w:lang w:eastAsia="zh-CN"/>
        </w:rPr>
        <w:t>工程收纳范围及设计范围</w:t>
      </w:r>
    </w:p>
    <w:p>
      <w:pPr>
        <w:ind w:firstLine="565"/>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eastAsia="zh-CN"/>
        </w:rPr>
        <w:t>本工程收纳范围主要为Y523片区，包含工业企业的生产污水，和罗洞村、沿线机关事业单位（含学校）以及沿街商铺的生活污水，收集至</w:t>
      </w:r>
      <w:r>
        <w:rPr>
          <w:rFonts w:hint="eastAsia" w:cs="宋体" w:asciiTheme="minorEastAsia" w:hAnsiTheme="minorEastAsia" w:eastAsiaTheme="minorEastAsia"/>
          <w:color w:val="auto"/>
          <w:sz w:val="28"/>
          <w:szCs w:val="21"/>
          <w:lang w:val="en-US" w:eastAsia="zh-CN"/>
        </w:rPr>
        <w:t>G105现状市政污水主干管中，最终排</w:t>
      </w:r>
      <w:r>
        <w:rPr>
          <w:rFonts w:hint="eastAsia" w:cs="宋体" w:asciiTheme="minorEastAsia" w:hAnsiTheme="minorEastAsia" w:eastAsiaTheme="minorEastAsia"/>
          <w:color w:val="auto"/>
          <w:sz w:val="28"/>
          <w:szCs w:val="21"/>
          <w:lang w:eastAsia="zh-CN"/>
        </w:rPr>
        <w:t>至中心城区污水厂进行处理。纳污面积约</w:t>
      </w:r>
      <w:r>
        <w:rPr>
          <w:rFonts w:hint="eastAsia" w:cs="宋体" w:asciiTheme="minorEastAsia" w:hAnsiTheme="minorEastAsia" w:eastAsiaTheme="minorEastAsia"/>
          <w:color w:val="auto"/>
          <w:sz w:val="28"/>
          <w:szCs w:val="21"/>
          <w:lang w:val="en-US" w:eastAsia="zh-CN"/>
        </w:rPr>
        <w:t>116.7hm</w:t>
      </w:r>
      <w:r>
        <w:rPr>
          <w:rFonts w:hint="eastAsia" w:cs="宋体" w:asciiTheme="minorEastAsia" w:hAnsiTheme="minorEastAsia" w:eastAsiaTheme="minorEastAsia"/>
          <w:color w:val="auto"/>
          <w:sz w:val="28"/>
          <w:szCs w:val="21"/>
          <w:vertAlign w:val="superscript"/>
          <w:lang w:val="en-US" w:eastAsia="zh-CN"/>
        </w:rPr>
        <w:t>2</w:t>
      </w:r>
      <w:r>
        <w:rPr>
          <w:rFonts w:hint="eastAsia" w:cs="宋体" w:asciiTheme="minorEastAsia" w:hAnsiTheme="minorEastAsia" w:eastAsiaTheme="minorEastAsia"/>
          <w:color w:val="auto"/>
          <w:sz w:val="28"/>
          <w:szCs w:val="21"/>
          <w:lang w:eastAsia="zh-CN"/>
        </w:rPr>
        <w:t>。</w:t>
      </w:r>
    </w:p>
    <w:p>
      <w:pPr>
        <w:pStyle w:val="12"/>
        <w:keepNext w:val="0"/>
        <w:keepLines w:val="0"/>
        <w:pageBreakBefore w:val="0"/>
        <w:widowControl w:val="0"/>
        <w:numPr>
          <w:ilvl w:val="0"/>
          <w:numId w:val="0"/>
        </w:numPr>
        <w:kinsoku/>
        <w:wordWrap/>
        <w:overflowPunct/>
        <w:topLinePunct w:val="0"/>
        <w:autoSpaceDE/>
        <w:autoSpaceDN/>
        <w:bidi w:val="0"/>
        <w:adjustRightInd/>
        <w:snapToGrid/>
        <w:ind w:leftChars="0" w:firstLine="564" w:firstLineChars="200"/>
        <w:textAlignment w:val="auto"/>
        <w:rPr>
          <w:rFonts w:hint="eastAsia" w:eastAsia="宋体"/>
          <w:color w:val="auto"/>
          <w:lang w:val="en-US" w:eastAsia="zh-CN"/>
        </w:rPr>
      </w:pPr>
      <w:r>
        <w:rPr>
          <w:rFonts w:hint="eastAsia" w:eastAsia="宋体"/>
          <w:color w:val="auto"/>
          <w:lang w:val="en-US" w:eastAsia="zh-CN"/>
        </w:rPr>
        <w:t>根据《广州市总河长令（第4号）》、广州市全面攻坚排水单元达标工作方案</w:t>
      </w:r>
    </w:p>
    <w:p>
      <w:pPr>
        <w:pStyle w:val="12"/>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eastAsia="宋体"/>
          <w:color w:val="auto"/>
          <w:lang w:val="en-US" w:eastAsia="zh-CN"/>
        </w:rPr>
      </w:pPr>
      <w:r>
        <w:rPr>
          <w:rFonts w:hint="eastAsia" w:eastAsia="宋体"/>
          <w:color w:val="auto"/>
          <w:lang w:val="en-US" w:eastAsia="zh-CN"/>
        </w:rPr>
        <w:t>（穗水规计〔2019〕43 号文印发）机关事业单位（含学校）、部队等两类排水单元内部排水管网改造资金，由权属单位承担，暂时未能安排资金的，由各区财政先行垫付，后期由各单位归还。工业、商业企业等两类排水单元内部排水系统达标攻坚所需资金，由权属或管理单位承担。</w:t>
      </w:r>
    </w:p>
    <w:p>
      <w:pPr>
        <w:pStyle w:val="12"/>
        <w:keepNext w:val="0"/>
        <w:keepLines w:val="0"/>
        <w:pageBreakBefore w:val="0"/>
        <w:widowControl w:val="0"/>
        <w:numPr>
          <w:ilvl w:val="0"/>
          <w:numId w:val="0"/>
        </w:numPr>
        <w:kinsoku/>
        <w:wordWrap/>
        <w:overflowPunct/>
        <w:topLinePunct w:val="0"/>
        <w:autoSpaceDE/>
        <w:autoSpaceDN/>
        <w:bidi w:val="0"/>
        <w:adjustRightInd/>
        <w:snapToGrid/>
        <w:ind w:leftChars="0" w:firstLine="564" w:firstLineChars="200"/>
        <w:textAlignment w:val="auto"/>
        <w:rPr>
          <w:rFonts w:hint="eastAsia" w:eastAsia="宋体"/>
          <w:color w:val="auto"/>
          <w:lang w:val="en-US" w:eastAsia="zh-CN"/>
        </w:rPr>
      </w:pPr>
      <w:r>
        <w:rPr>
          <w:rFonts w:hint="eastAsia" w:eastAsia="宋体"/>
          <w:color w:val="auto"/>
          <w:lang w:val="en-US" w:eastAsia="zh-CN"/>
        </w:rPr>
        <w:t>故为保障项目实施后发挥实际效益，避免出现主管支管分开立项，新建主管网后无污水收纳等问题，经与主管单位及建设单位等部门沟通，本次改造范围将包含工程范围内的机关事业单位（含学校）及部分未有明确排水单元归属的沿街商铺；</w:t>
      </w:r>
      <w:r>
        <w:rPr>
          <w:rFonts w:hint="eastAsia"/>
          <w:color w:val="auto"/>
          <w:lang w:val="en-US" w:eastAsia="zh-CN"/>
        </w:rPr>
        <w:t>罗洞</w:t>
      </w:r>
      <w:r>
        <w:rPr>
          <w:rFonts w:hint="eastAsia" w:eastAsia="宋体"/>
          <w:color w:val="auto"/>
          <w:lang w:val="en-US" w:eastAsia="zh-CN"/>
        </w:rPr>
        <w:t>村各经济社改造将由属地镇街的农污治理专项资金负责，同时为沿线各工业企业预留接驳口。</w:t>
      </w:r>
    </w:p>
    <w:p>
      <w:pPr>
        <w:pStyle w:val="12"/>
        <w:keepNext w:val="0"/>
        <w:keepLines w:val="0"/>
        <w:pageBreakBefore w:val="0"/>
        <w:widowControl w:val="0"/>
        <w:numPr>
          <w:ilvl w:val="0"/>
          <w:numId w:val="0"/>
        </w:numPr>
        <w:kinsoku/>
        <w:wordWrap/>
        <w:overflowPunct/>
        <w:topLinePunct w:val="0"/>
        <w:autoSpaceDE/>
        <w:autoSpaceDN/>
        <w:bidi w:val="0"/>
        <w:adjustRightInd/>
        <w:snapToGrid/>
        <w:ind w:leftChars="0" w:firstLine="564" w:firstLineChars="200"/>
        <w:textAlignment w:val="auto"/>
        <w:rPr>
          <w:rFonts w:hint="eastAsia" w:eastAsia="宋体"/>
          <w:color w:val="auto"/>
          <w:lang w:val="en-US" w:eastAsia="zh-CN"/>
        </w:rPr>
      </w:pPr>
      <w:r>
        <w:rPr>
          <w:rFonts w:hint="eastAsia"/>
          <w:color w:val="auto"/>
          <w:lang w:val="en-US" w:eastAsia="zh-CN"/>
        </w:rPr>
        <w:t>行政村类型的排水单元将由属地镇街实施，罗洞村目前已实施《2022年从化区江埔街罗洞村农村生活污水治理提升工程》，建设内容包括罗洞村瓦窑岗、忠信社、龙田社，本工程已与江埔街道办进行沟通，并于各经济社主要路口预留接驳管道，满足其项目接驳需求，罗洞村其他经济社按照规划属拟建工程，将由属地镇街于2025年前实施。</w:t>
      </w:r>
    </w:p>
    <w:p>
      <w:pPr>
        <w:pStyle w:val="12"/>
        <w:keepNext w:val="0"/>
        <w:keepLines w:val="0"/>
        <w:pageBreakBefore w:val="0"/>
        <w:widowControl w:val="0"/>
        <w:numPr>
          <w:ilvl w:val="0"/>
          <w:numId w:val="0"/>
        </w:numPr>
        <w:kinsoku/>
        <w:wordWrap/>
        <w:overflowPunct/>
        <w:topLinePunct w:val="0"/>
        <w:autoSpaceDE/>
        <w:autoSpaceDN/>
        <w:bidi w:val="0"/>
        <w:adjustRightInd/>
        <w:snapToGrid/>
        <w:ind w:leftChars="0" w:firstLine="564" w:firstLineChars="200"/>
        <w:textAlignment w:val="auto"/>
        <w:rPr>
          <w:rFonts w:hint="default" w:eastAsia="宋体"/>
          <w:color w:val="auto"/>
          <w:lang w:val="en-US" w:eastAsia="zh-CN"/>
        </w:rPr>
      </w:pPr>
      <w:r>
        <w:rPr>
          <w:rFonts w:hint="eastAsia" w:eastAsia="宋体"/>
          <w:color w:val="auto"/>
          <w:lang w:val="en-US" w:eastAsia="zh-CN"/>
        </w:rPr>
        <w:t>项目实施的单位划分如下图所示，红色填充区域为本项目改造范围。</w:t>
      </w:r>
    </w:p>
    <w:p>
      <w:pPr>
        <w:ind w:firstLine="565"/>
        <w:rPr>
          <w:rFonts w:hint="eastAsia" w:cs="宋体" w:asciiTheme="minorEastAsia" w:hAnsiTheme="minorEastAsia" w:eastAsiaTheme="minorEastAsia"/>
          <w:color w:val="auto"/>
          <w:sz w:val="28"/>
          <w:szCs w:val="21"/>
          <w:lang w:eastAsia="zh-CN"/>
        </w:rPr>
      </w:pPr>
    </w:p>
    <w:p>
      <w:pPr>
        <w:pStyle w:val="97"/>
        <w:keepNext w:val="0"/>
        <w:keepLines w:val="0"/>
        <w:pageBreakBefore w:val="0"/>
        <w:widowControl w:val="0"/>
        <w:kinsoku/>
        <w:wordWrap/>
        <w:overflowPunct/>
        <w:topLinePunct w:val="0"/>
        <w:autoSpaceDE/>
        <w:autoSpaceDN/>
        <w:bidi w:val="0"/>
        <w:adjustRightInd/>
        <w:snapToGrid/>
        <w:ind w:firstLine="0" w:firstLineChars="0"/>
        <w:jc w:val="center"/>
        <w:textAlignment w:val="auto"/>
        <w:rPr>
          <w:color w:val="auto"/>
        </w:rPr>
      </w:pPr>
      <w:r>
        <w:rPr>
          <w:color w:val="auto"/>
        </w:rPr>
        <w:drawing>
          <wp:inline distT="0" distB="0" distL="114300" distR="114300">
            <wp:extent cx="5804535" cy="5036820"/>
            <wp:effectExtent l="0" t="0" r="5715" b="11430"/>
            <wp:docPr id="6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
                    <pic:cNvPicPr>
                      <a:picLocks noChangeAspect="1"/>
                    </pic:cNvPicPr>
                  </pic:nvPicPr>
                  <pic:blipFill>
                    <a:blip r:embed="rId55"/>
                    <a:stretch>
                      <a:fillRect/>
                    </a:stretch>
                  </pic:blipFill>
                  <pic:spPr>
                    <a:xfrm>
                      <a:off x="0" y="0"/>
                      <a:ext cx="5804535" cy="5036820"/>
                    </a:xfrm>
                    <a:prstGeom prst="rect">
                      <a:avLst/>
                    </a:prstGeom>
                    <a:noFill/>
                    <a:ln>
                      <a:noFill/>
                    </a:ln>
                  </pic:spPr>
                </pic:pic>
              </a:graphicData>
            </a:graphic>
          </wp:inline>
        </w:drawing>
      </w:r>
    </w:p>
    <w:p>
      <w:pPr>
        <w:pStyle w:val="44"/>
        <w:numPr>
          <w:ilvl w:val="8"/>
          <w:numId w:val="9"/>
        </w:numPr>
        <w:bidi w:val="0"/>
        <w:rPr>
          <w:rFonts w:hint="eastAsia"/>
          <w:color w:val="auto"/>
          <w:lang w:eastAsia="zh-CN"/>
        </w:rPr>
      </w:pPr>
      <w:r>
        <w:rPr>
          <w:rFonts w:hint="eastAsia"/>
          <w:color w:val="auto"/>
          <w:lang w:eastAsia="zh-CN"/>
        </w:rPr>
        <w:t>纳污范围及工程改造单元范围示意图</w:t>
      </w:r>
    </w:p>
    <w:p>
      <w:pPr>
        <w:pStyle w:val="39"/>
        <w:numPr>
          <w:ilvl w:val="1"/>
          <w:numId w:val="9"/>
        </w:numPr>
        <w:rPr>
          <w:rFonts w:hint="eastAsia" w:cs="宋体" w:asciiTheme="minorEastAsia" w:hAnsiTheme="minorEastAsia" w:eastAsiaTheme="minorEastAsia"/>
          <w:color w:val="auto"/>
          <w:sz w:val="28"/>
          <w:szCs w:val="28"/>
          <w:lang w:val="en-US" w:eastAsia="zh-CN"/>
        </w:rPr>
      </w:pPr>
      <w:bookmarkStart w:id="47" w:name="_Toc30768"/>
      <w:r>
        <w:rPr>
          <w:rFonts w:hint="eastAsia" w:cs="宋体" w:asciiTheme="minorEastAsia" w:hAnsiTheme="minorEastAsia" w:eastAsiaTheme="minorEastAsia"/>
          <w:color w:val="auto"/>
          <w:sz w:val="28"/>
          <w:szCs w:val="28"/>
          <w:lang w:val="en-US" w:eastAsia="zh-CN"/>
        </w:rPr>
        <w:t>项目建设条件</w:t>
      </w:r>
      <w:bookmarkEnd w:id="47"/>
    </w:p>
    <w:p>
      <w:pPr>
        <w:pStyle w:val="40"/>
        <w:numPr>
          <w:ilvl w:val="2"/>
          <w:numId w:val="9"/>
        </w:numPr>
        <w:rPr>
          <w:rFonts w:hint="default" w:cs="宋体" w:asciiTheme="minorEastAsia" w:hAnsiTheme="minorEastAsia" w:eastAsiaTheme="minorEastAsia"/>
          <w:color w:val="auto"/>
          <w:sz w:val="28"/>
          <w:szCs w:val="28"/>
          <w:lang w:val="en-US" w:eastAsia="zh-CN"/>
        </w:rPr>
      </w:pPr>
      <w:r>
        <w:rPr>
          <w:rFonts w:hint="eastAsia" w:cs="宋体" w:asciiTheme="minorEastAsia" w:hAnsiTheme="minorEastAsia" w:eastAsiaTheme="minorEastAsia"/>
          <w:color w:val="auto"/>
          <w:sz w:val="28"/>
          <w:szCs w:val="28"/>
          <w:lang w:val="en-US" w:eastAsia="zh-CN"/>
        </w:rPr>
        <w:t>工程场地条件</w:t>
      </w:r>
    </w:p>
    <w:p>
      <w:pPr>
        <w:numPr>
          <w:ilvl w:val="0"/>
          <w:numId w:val="17"/>
        </w:numPr>
        <w:rPr>
          <w:rFonts w:hint="default"/>
          <w:color w:val="auto"/>
          <w:lang w:val="en-US" w:eastAsia="zh-CN"/>
        </w:rPr>
      </w:pPr>
      <w:r>
        <w:rPr>
          <w:rFonts w:hint="eastAsia" w:cs="宋体" w:asciiTheme="minorEastAsia" w:hAnsiTheme="minorEastAsia" w:eastAsiaTheme="minorEastAsia"/>
          <w:color w:val="auto"/>
          <w:sz w:val="28"/>
          <w:szCs w:val="28"/>
          <w:lang w:val="en-US" w:eastAsia="zh-CN"/>
        </w:rPr>
        <w:t>道路及交通条件</w:t>
      </w:r>
    </w:p>
    <w:p>
      <w:pPr>
        <w:jc w:val="center"/>
        <w:rPr>
          <w:color w:val="auto"/>
        </w:rPr>
      </w:pPr>
      <w:r>
        <w:rPr>
          <w:color w:val="auto"/>
        </w:rPr>
        <w:drawing>
          <wp:inline distT="0" distB="0" distL="114300" distR="114300">
            <wp:extent cx="3318510" cy="3599815"/>
            <wp:effectExtent l="0" t="0" r="15240" b="635"/>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56"/>
                    <a:stretch>
                      <a:fillRect/>
                    </a:stretch>
                  </pic:blipFill>
                  <pic:spPr>
                    <a:xfrm>
                      <a:off x="0" y="0"/>
                      <a:ext cx="3318510" cy="3599815"/>
                    </a:xfrm>
                    <a:prstGeom prst="rect">
                      <a:avLst/>
                    </a:prstGeom>
                    <a:noFill/>
                    <a:ln>
                      <a:noFill/>
                    </a:ln>
                  </pic:spPr>
                </pic:pic>
              </a:graphicData>
            </a:graphic>
          </wp:inline>
        </w:drawing>
      </w:r>
    </w:p>
    <w:p>
      <w:pPr>
        <w:pStyle w:val="44"/>
        <w:numPr>
          <w:ilvl w:val="8"/>
          <w:numId w:val="9"/>
        </w:numPr>
        <w:bidi w:val="0"/>
        <w:rPr>
          <w:rFonts w:hint="eastAsia"/>
          <w:color w:val="auto"/>
          <w:lang w:val="en-US" w:eastAsia="zh-CN"/>
        </w:rPr>
      </w:pPr>
      <w:r>
        <w:rPr>
          <w:rFonts w:hint="eastAsia"/>
          <w:color w:val="auto"/>
          <w:lang w:val="en-US" w:eastAsia="zh-CN"/>
        </w:rPr>
        <w:t>Y523道路平面图</w:t>
      </w:r>
    </w:p>
    <w:p>
      <w:pPr>
        <w:jc w:val="center"/>
        <w:rPr>
          <w:rFonts w:hint="eastAsia"/>
          <w:color w:val="auto"/>
          <w:lang w:val="en-US" w:eastAsia="zh-CN"/>
        </w:rPr>
      </w:pPr>
      <w:r>
        <w:rPr>
          <w:rFonts w:hint="eastAsia"/>
          <w:color w:val="auto"/>
          <w:lang w:val="en-US" w:eastAsia="zh-CN"/>
        </w:rPr>
        <w:drawing>
          <wp:inline distT="0" distB="0" distL="114300" distR="114300">
            <wp:extent cx="3836035" cy="2879725"/>
            <wp:effectExtent l="0" t="0" r="12065" b="15875"/>
            <wp:docPr id="27" name="图片 27" descr="Y523 罗洞村-村口道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Y523 罗洞村-村口道路"/>
                    <pic:cNvPicPr>
                      <a:picLocks noChangeAspect="1"/>
                    </pic:cNvPicPr>
                  </pic:nvPicPr>
                  <pic:blipFill>
                    <a:blip r:embed="rId57"/>
                    <a:stretch>
                      <a:fillRect/>
                    </a:stretch>
                  </pic:blipFill>
                  <pic:spPr>
                    <a:xfrm>
                      <a:off x="0" y="0"/>
                      <a:ext cx="3836035" cy="2879725"/>
                    </a:xfrm>
                    <a:prstGeom prst="rect">
                      <a:avLst/>
                    </a:prstGeom>
                  </pic:spPr>
                </pic:pic>
              </a:graphicData>
            </a:graphic>
          </wp:inline>
        </w:drawing>
      </w:r>
    </w:p>
    <w:p>
      <w:pPr>
        <w:pStyle w:val="44"/>
        <w:numPr>
          <w:ilvl w:val="8"/>
          <w:numId w:val="9"/>
        </w:numPr>
        <w:bidi w:val="0"/>
        <w:rPr>
          <w:rFonts w:hint="eastAsia"/>
          <w:color w:val="auto"/>
          <w:lang w:val="en-US" w:eastAsia="zh-CN"/>
        </w:rPr>
      </w:pPr>
      <w:r>
        <w:rPr>
          <w:rFonts w:hint="eastAsia"/>
          <w:color w:val="auto"/>
          <w:lang w:val="en-US" w:eastAsia="zh-CN"/>
        </w:rPr>
        <w:t>Y523道路路口段</w:t>
      </w:r>
    </w:p>
    <w:p>
      <w:pPr>
        <w:ind w:left="0" w:leftChars="0" w:firstLine="0" w:firstLineChars="0"/>
        <w:jc w:val="center"/>
        <w:rPr>
          <w:rFonts w:hint="eastAsia"/>
          <w:color w:val="auto"/>
          <w:lang w:val="en-US" w:eastAsia="zh-CN"/>
        </w:rPr>
      </w:pPr>
      <w:r>
        <w:rPr>
          <w:rFonts w:hint="eastAsia"/>
          <w:color w:val="auto"/>
          <w:lang w:val="en-US" w:eastAsia="zh-CN"/>
        </w:rPr>
        <w:drawing>
          <wp:inline distT="0" distB="0" distL="114300" distR="114300">
            <wp:extent cx="3833495" cy="2879725"/>
            <wp:effectExtent l="0" t="0" r="14605" b="15875"/>
            <wp:docPr id="78" name="图片 78" descr="542e6e1e12a0a9279652a59483ffa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542e6e1e12a0a9279652a59483ffa81"/>
                    <pic:cNvPicPr>
                      <a:picLocks noChangeAspect="1"/>
                    </pic:cNvPicPr>
                  </pic:nvPicPr>
                  <pic:blipFill>
                    <a:blip r:embed="rId58"/>
                    <a:stretch>
                      <a:fillRect/>
                    </a:stretch>
                  </pic:blipFill>
                  <pic:spPr>
                    <a:xfrm>
                      <a:off x="0" y="0"/>
                      <a:ext cx="3833495" cy="2879725"/>
                    </a:xfrm>
                    <a:prstGeom prst="rect">
                      <a:avLst/>
                    </a:prstGeom>
                  </pic:spPr>
                </pic:pic>
              </a:graphicData>
            </a:graphic>
          </wp:inline>
        </w:drawing>
      </w:r>
    </w:p>
    <w:p>
      <w:pPr>
        <w:pStyle w:val="44"/>
        <w:numPr>
          <w:ilvl w:val="8"/>
          <w:numId w:val="9"/>
        </w:numPr>
        <w:bidi w:val="0"/>
        <w:rPr>
          <w:rFonts w:hint="eastAsia"/>
          <w:color w:val="auto"/>
          <w:lang w:val="en-US" w:eastAsia="zh-CN"/>
        </w:rPr>
      </w:pPr>
      <w:r>
        <w:rPr>
          <w:rFonts w:hint="eastAsia"/>
          <w:color w:val="auto"/>
          <w:lang w:val="en-US" w:eastAsia="zh-CN"/>
        </w:rPr>
        <w:t>Y523道路罗洞村段</w:t>
      </w:r>
    </w:p>
    <w:p>
      <w:pPr>
        <w:rPr>
          <w:rFonts w:hint="eastAsia"/>
          <w:color w:val="auto"/>
          <w:lang w:val="en-US" w:eastAsia="zh-CN"/>
        </w:rPr>
      </w:pPr>
      <w:r>
        <w:rPr>
          <w:rFonts w:hint="eastAsia"/>
          <w:color w:val="auto"/>
          <w:lang w:val="en-US" w:eastAsia="zh-CN"/>
        </w:rPr>
        <w:t>由以上图片可知，Y523道路本项目所涉及路段均为双向二车道，但路口段道路较宽，现场量的道路宽度约12米，到罗洞村段道路较为窄，为7米宽。</w:t>
      </w:r>
    </w:p>
    <w:p>
      <w:pPr>
        <w:pStyle w:val="12"/>
        <w:rPr>
          <w:rFonts w:hint="eastAsia"/>
          <w:color w:val="auto"/>
          <w:lang w:val="en-US" w:eastAsia="zh-CN"/>
        </w:rPr>
      </w:pPr>
      <w:r>
        <w:rPr>
          <w:rFonts w:hint="eastAsia"/>
          <w:color w:val="auto"/>
          <w:lang w:val="en-US" w:eastAsia="zh-CN"/>
        </w:rPr>
        <w:t>路口段商铺较多，车流量稍大于罗洞村段，整体道路车流量适中。现场道路及交通情况具备实施条件。本次工程实施时可采用分段围蔽，并配备交通疏解员对车辆交通进行疏导，减少项目实施对交通的影响。</w:t>
      </w:r>
    </w:p>
    <w:p>
      <w:pPr>
        <w:pStyle w:val="12"/>
        <w:rPr>
          <w:rFonts w:hint="eastAsia"/>
          <w:color w:val="auto"/>
          <w:lang w:val="en-US" w:eastAsia="zh-CN"/>
        </w:rPr>
      </w:pPr>
      <w:r>
        <w:rPr>
          <w:rFonts w:hint="eastAsia"/>
          <w:color w:val="auto"/>
          <w:lang w:val="en-US" w:eastAsia="zh-CN"/>
        </w:rPr>
        <w:t>项目交通条件较好，可满足本次项目实施时的施工材料等运输需要，无需设置施工便道。</w:t>
      </w:r>
    </w:p>
    <w:p>
      <w:pPr>
        <w:pStyle w:val="40"/>
        <w:numPr>
          <w:ilvl w:val="2"/>
          <w:numId w:val="9"/>
        </w:numPr>
        <w:rPr>
          <w:rFonts w:hint="default" w:cs="宋体" w:asciiTheme="minorEastAsia" w:hAnsiTheme="minorEastAsia" w:eastAsiaTheme="minorEastAsia"/>
          <w:color w:val="auto"/>
          <w:sz w:val="28"/>
          <w:szCs w:val="28"/>
          <w:lang w:val="en-US" w:eastAsia="zh-CN"/>
        </w:rPr>
      </w:pPr>
      <w:r>
        <w:rPr>
          <w:rFonts w:hint="eastAsia" w:cs="宋体" w:asciiTheme="minorEastAsia" w:hAnsiTheme="minorEastAsia" w:eastAsiaTheme="minorEastAsia"/>
          <w:color w:val="auto"/>
          <w:sz w:val="28"/>
          <w:szCs w:val="28"/>
          <w:lang w:val="en-US" w:eastAsia="zh-CN"/>
        </w:rPr>
        <w:t>项目建设条件</w:t>
      </w:r>
    </w:p>
    <w:p>
      <w:pPr>
        <w:pStyle w:val="12"/>
        <w:rPr>
          <w:rFonts w:hint="eastAsia"/>
          <w:color w:val="auto"/>
          <w:lang w:val="en-US" w:eastAsia="zh-CN"/>
        </w:rPr>
      </w:pPr>
      <w:r>
        <w:rPr>
          <w:rFonts w:hint="eastAsia"/>
          <w:color w:val="auto"/>
          <w:lang w:val="en-US" w:eastAsia="zh-CN"/>
        </w:rPr>
        <w:t>本次设计工程起点为罗洞村村口，终点为Y523与G105国道交界路口。</w:t>
      </w:r>
    </w:p>
    <w:p>
      <w:pPr>
        <w:pStyle w:val="12"/>
        <w:rPr>
          <w:rFonts w:hint="eastAsia"/>
          <w:color w:val="auto"/>
          <w:lang w:val="en-US" w:eastAsia="zh-CN"/>
        </w:rPr>
      </w:pPr>
      <w:r>
        <w:rPr>
          <w:rFonts w:hint="eastAsia"/>
          <w:color w:val="auto"/>
          <w:lang w:val="en-US" w:eastAsia="zh-CN"/>
        </w:rPr>
        <w:t>起点地面标高约为45.7米，自起点到中段均为缓坡下降，至公路管养站前为场地最低处，标高约36.75米，而后道路标高逐步升高，至公路管养站门口标高为38.98米，此处管道敷设反坡，埋深较深，至G105国道段终点标高为36.43米。</w:t>
      </w:r>
    </w:p>
    <w:p>
      <w:pPr>
        <w:pStyle w:val="12"/>
        <w:rPr>
          <w:rFonts w:hint="default"/>
          <w:color w:val="auto"/>
          <w:lang w:val="en-US" w:eastAsia="zh-CN"/>
        </w:rPr>
      </w:pPr>
      <w:r>
        <w:rPr>
          <w:rFonts w:hint="eastAsia"/>
          <w:color w:val="auto"/>
          <w:lang w:val="en-US" w:eastAsia="zh-CN"/>
        </w:rPr>
        <w:t>本项目位于市政道路，道路两侧沿线为罗洞村居民及部分机关、企业，均设置有市政给水设施及电路系统，本工程施工过程中临时用水、用电可就近向居民或企业借用或采用柴油发电机、水车等器械。</w:t>
      </w:r>
    </w:p>
    <w:p>
      <w:pPr>
        <w:pStyle w:val="13"/>
        <w:ind w:left="0" w:leftChars="0" w:firstLine="0" w:firstLineChars="0"/>
        <w:jc w:val="left"/>
        <w:rPr>
          <w:rFonts w:hint="eastAsia"/>
          <w:color w:val="auto"/>
          <w:lang w:val="en-US" w:eastAsia="zh-CN"/>
        </w:rPr>
      </w:pPr>
      <w:r>
        <w:drawing>
          <wp:inline distT="0" distB="0" distL="114300" distR="114300">
            <wp:extent cx="6171565" cy="5727065"/>
            <wp:effectExtent l="0" t="0" r="635" b="6985"/>
            <wp:docPr id="1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2"/>
                    <pic:cNvPicPr>
                      <a:picLocks noChangeAspect="1"/>
                    </pic:cNvPicPr>
                  </pic:nvPicPr>
                  <pic:blipFill>
                    <a:blip r:embed="rId59"/>
                    <a:stretch>
                      <a:fillRect/>
                    </a:stretch>
                  </pic:blipFill>
                  <pic:spPr>
                    <a:xfrm>
                      <a:off x="0" y="0"/>
                      <a:ext cx="6171565" cy="5727065"/>
                    </a:xfrm>
                    <a:prstGeom prst="rect">
                      <a:avLst/>
                    </a:prstGeom>
                    <a:noFill/>
                    <a:ln>
                      <a:noFill/>
                    </a:ln>
                  </pic:spPr>
                </pic:pic>
              </a:graphicData>
            </a:graphic>
          </wp:inline>
        </w:drawing>
      </w:r>
    </w:p>
    <w:p>
      <w:pPr>
        <w:pStyle w:val="44"/>
        <w:numPr>
          <w:ilvl w:val="8"/>
          <w:numId w:val="9"/>
        </w:numPr>
        <w:bidi w:val="0"/>
        <w:rPr>
          <w:rFonts w:hint="eastAsia"/>
          <w:color w:val="auto"/>
          <w:lang w:val="en-US" w:eastAsia="zh-CN"/>
        </w:rPr>
      </w:pPr>
      <w:r>
        <w:rPr>
          <w:rFonts w:hint="eastAsia"/>
          <w:color w:val="auto"/>
          <w:lang w:val="en-US" w:eastAsia="zh-CN"/>
        </w:rPr>
        <w:t>现场主要节点地势标高</w:t>
      </w:r>
    </w:p>
    <w:p>
      <w:pPr>
        <w:pStyle w:val="12"/>
        <w:rPr>
          <w:rFonts w:hint="default"/>
          <w:color w:val="auto"/>
          <w:lang w:val="en-US" w:eastAsia="zh-CN"/>
        </w:rPr>
      </w:pPr>
      <w:r>
        <w:rPr>
          <w:rFonts w:hint="eastAsia"/>
          <w:color w:val="auto"/>
          <w:lang w:val="en-US" w:eastAsia="zh-CN"/>
        </w:rPr>
        <w:t>Y523中段有一处跨越在册河流，为凤凰水支流。</w:t>
      </w:r>
    </w:p>
    <w:p>
      <w:pPr>
        <w:pStyle w:val="12"/>
        <w:rPr>
          <w:rFonts w:hint="eastAsia"/>
          <w:color w:val="auto"/>
          <w:lang w:val="en-US" w:eastAsia="zh-CN"/>
        </w:rPr>
      </w:pPr>
      <w:r>
        <w:rPr>
          <w:rFonts w:hint="eastAsia"/>
          <w:color w:val="auto"/>
          <w:lang w:val="en-US" w:eastAsia="zh-CN"/>
        </w:rPr>
        <w:t>管道跨凤凰水支流处，因东北侧两侧存在障碍物较多，且根据防洪规定，管道宜敷设于桥梁下游侧，故设计敷设于西南侧，现场河道水量较小，汛期河床总宽度约10m，枯水期下游水面宽度约6米，河道总宽度约30m。详见现场照片。</w:t>
      </w:r>
    </w:p>
    <w:p>
      <w:pPr>
        <w:pStyle w:val="13"/>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color w:val="auto"/>
          <w:lang w:val="en-US" w:eastAsia="zh-CN"/>
        </w:rPr>
      </w:pPr>
      <w:r>
        <w:rPr>
          <w:rFonts w:hint="default"/>
          <w:color w:val="auto"/>
          <w:lang w:val="en-US" w:eastAsia="zh-CN"/>
        </w:rPr>
        <w:drawing>
          <wp:inline distT="0" distB="0" distL="114300" distR="114300">
            <wp:extent cx="2835275" cy="2129790"/>
            <wp:effectExtent l="0" t="0" r="3175" b="3810"/>
            <wp:docPr id="76" name="图片 76" descr="af54d439be86190cb34a79e5a7639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af54d439be86190cb34a79e5a76394f"/>
                    <pic:cNvPicPr>
                      <a:picLocks noChangeAspect="1"/>
                    </pic:cNvPicPr>
                  </pic:nvPicPr>
                  <pic:blipFill>
                    <a:blip r:embed="rId60"/>
                    <a:stretch>
                      <a:fillRect/>
                    </a:stretch>
                  </pic:blipFill>
                  <pic:spPr>
                    <a:xfrm>
                      <a:off x="0" y="0"/>
                      <a:ext cx="2835275" cy="2129790"/>
                    </a:xfrm>
                    <a:prstGeom prst="rect">
                      <a:avLst/>
                    </a:prstGeom>
                  </pic:spPr>
                </pic:pic>
              </a:graphicData>
            </a:graphic>
          </wp:inline>
        </w:drawing>
      </w:r>
    </w:p>
    <w:p>
      <w:pPr>
        <w:pStyle w:val="44"/>
        <w:keepNext w:val="0"/>
        <w:keepLines w:val="0"/>
        <w:pageBreakBefore w:val="0"/>
        <w:widowControl w:val="0"/>
        <w:numPr>
          <w:ilvl w:val="8"/>
          <w:numId w:val="9"/>
        </w:numPr>
        <w:kinsoku/>
        <w:wordWrap/>
        <w:overflowPunct/>
        <w:topLinePunct w:val="0"/>
        <w:autoSpaceDE/>
        <w:autoSpaceDN/>
        <w:bidi w:val="0"/>
        <w:adjustRightInd/>
        <w:snapToGrid/>
        <w:ind w:left="0" w:leftChars="0" w:firstLineChars="0"/>
        <w:jc w:val="center"/>
        <w:textAlignment w:val="auto"/>
        <w:rPr>
          <w:rFonts w:hint="eastAsia"/>
          <w:color w:val="auto"/>
          <w:lang w:val="en-US" w:eastAsia="zh-CN"/>
        </w:rPr>
      </w:pPr>
      <w:r>
        <w:rPr>
          <w:rFonts w:hint="eastAsia"/>
          <w:color w:val="auto"/>
          <w:lang w:val="en-US" w:eastAsia="zh-CN"/>
        </w:rPr>
        <w:t>上游段现场图片</w:t>
      </w:r>
    </w:p>
    <w:p>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color w:val="auto"/>
          <w:lang w:val="en-US" w:eastAsia="zh-CN"/>
        </w:rPr>
      </w:pPr>
      <w:r>
        <w:rPr>
          <w:rFonts w:hint="eastAsia"/>
          <w:color w:val="auto"/>
          <w:lang w:val="en-US" w:eastAsia="zh-CN"/>
        </w:rPr>
        <w:drawing>
          <wp:inline distT="0" distB="0" distL="114300" distR="114300">
            <wp:extent cx="2857500" cy="2146935"/>
            <wp:effectExtent l="0" t="0" r="0" b="5715"/>
            <wp:docPr id="77" name="图片 77" descr="92bb669e97647ed992929c174906b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92bb669e97647ed992929c174906b6d"/>
                    <pic:cNvPicPr>
                      <a:picLocks noChangeAspect="1"/>
                    </pic:cNvPicPr>
                  </pic:nvPicPr>
                  <pic:blipFill>
                    <a:blip r:embed="rId61"/>
                    <a:stretch>
                      <a:fillRect/>
                    </a:stretch>
                  </pic:blipFill>
                  <pic:spPr>
                    <a:xfrm>
                      <a:off x="0" y="0"/>
                      <a:ext cx="2857500" cy="2146935"/>
                    </a:xfrm>
                    <a:prstGeom prst="rect">
                      <a:avLst/>
                    </a:prstGeom>
                  </pic:spPr>
                </pic:pic>
              </a:graphicData>
            </a:graphic>
          </wp:inline>
        </w:drawing>
      </w:r>
    </w:p>
    <w:p>
      <w:pPr>
        <w:pStyle w:val="44"/>
        <w:keepNext w:val="0"/>
        <w:keepLines w:val="0"/>
        <w:pageBreakBefore w:val="0"/>
        <w:widowControl w:val="0"/>
        <w:numPr>
          <w:ilvl w:val="8"/>
          <w:numId w:val="9"/>
        </w:numPr>
        <w:kinsoku/>
        <w:wordWrap/>
        <w:overflowPunct/>
        <w:topLinePunct w:val="0"/>
        <w:autoSpaceDE/>
        <w:autoSpaceDN/>
        <w:bidi w:val="0"/>
        <w:adjustRightInd/>
        <w:snapToGrid/>
        <w:ind w:left="0" w:leftChars="0" w:firstLineChars="0"/>
        <w:jc w:val="center"/>
        <w:textAlignment w:val="auto"/>
        <w:rPr>
          <w:rFonts w:hint="eastAsia"/>
          <w:color w:val="auto"/>
          <w:lang w:val="en-US" w:eastAsia="zh-CN"/>
        </w:rPr>
      </w:pPr>
      <w:r>
        <w:rPr>
          <w:rFonts w:hint="eastAsia"/>
          <w:color w:val="auto"/>
          <w:lang w:val="en-US" w:eastAsia="zh-CN"/>
        </w:rPr>
        <w:t>下游段现场图片</w:t>
      </w:r>
    </w:p>
    <w:p>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color w:val="auto"/>
          <w:lang w:val="en-US" w:eastAsia="zh-CN"/>
        </w:rPr>
      </w:pPr>
      <w:r>
        <w:rPr>
          <w:rFonts w:hint="eastAsia"/>
          <w:color w:val="auto"/>
          <w:lang w:val="en-US" w:eastAsia="zh-CN"/>
        </w:rPr>
        <w:drawing>
          <wp:inline distT="0" distB="0" distL="114300" distR="114300">
            <wp:extent cx="2935605" cy="2204720"/>
            <wp:effectExtent l="0" t="0" r="17145" b="5080"/>
            <wp:docPr id="79" name="图片 79" descr="7000a40d93f9e202721a6d49ef3b1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7000a40d93f9e202721a6d49ef3b1ed"/>
                    <pic:cNvPicPr>
                      <a:picLocks noChangeAspect="1"/>
                    </pic:cNvPicPr>
                  </pic:nvPicPr>
                  <pic:blipFill>
                    <a:blip r:embed="rId62"/>
                    <a:stretch>
                      <a:fillRect/>
                    </a:stretch>
                  </pic:blipFill>
                  <pic:spPr>
                    <a:xfrm>
                      <a:off x="0" y="0"/>
                      <a:ext cx="2935605" cy="2204720"/>
                    </a:xfrm>
                    <a:prstGeom prst="rect">
                      <a:avLst/>
                    </a:prstGeom>
                  </pic:spPr>
                </pic:pic>
              </a:graphicData>
            </a:graphic>
          </wp:inline>
        </w:drawing>
      </w:r>
    </w:p>
    <w:p>
      <w:pPr>
        <w:pStyle w:val="44"/>
        <w:keepNext w:val="0"/>
        <w:keepLines w:val="0"/>
        <w:pageBreakBefore w:val="0"/>
        <w:widowControl w:val="0"/>
        <w:numPr>
          <w:ilvl w:val="8"/>
          <w:numId w:val="9"/>
        </w:numPr>
        <w:kinsoku/>
        <w:wordWrap/>
        <w:overflowPunct/>
        <w:topLinePunct w:val="0"/>
        <w:autoSpaceDE/>
        <w:autoSpaceDN/>
        <w:bidi w:val="0"/>
        <w:adjustRightInd/>
        <w:snapToGrid/>
        <w:ind w:left="0" w:leftChars="0" w:firstLineChars="0"/>
        <w:jc w:val="center"/>
        <w:textAlignment w:val="auto"/>
        <w:rPr>
          <w:rFonts w:hint="eastAsia"/>
          <w:color w:val="auto"/>
          <w:lang w:val="en-US" w:eastAsia="zh-CN"/>
        </w:rPr>
      </w:pPr>
      <w:r>
        <w:rPr>
          <w:rFonts w:hint="eastAsia"/>
          <w:color w:val="auto"/>
          <w:lang w:val="en-US" w:eastAsia="zh-CN"/>
        </w:rPr>
        <w:t>枯水期下游段拍摄桥梁照片</w:t>
      </w:r>
    </w:p>
    <w:bookmarkEnd w:id="43"/>
    <w:p>
      <w:pPr>
        <w:numPr>
          <w:ilvl w:val="0"/>
          <w:numId w:val="0"/>
        </w:numPr>
        <w:ind w:firstLine="564" w:firstLineChars="200"/>
        <w:rPr>
          <w:rFonts w:hint="default" w:cs="宋体"/>
          <w:color w:val="auto"/>
          <w:sz w:val="28"/>
          <w:szCs w:val="21"/>
          <w:lang w:val="en-US" w:eastAsia="zh-CN"/>
        </w:rPr>
      </w:pPr>
      <w:r>
        <w:rPr>
          <w:rFonts w:hint="eastAsia" w:cs="宋体"/>
          <w:color w:val="auto"/>
          <w:sz w:val="28"/>
          <w:szCs w:val="21"/>
          <w:lang w:eastAsia="zh-CN"/>
        </w:rPr>
        <w:t>根据《从化区排水管网雨污分流改造策划方案》，本项目市政部分拟采用新建污水主管，雨水系统沿用现状</w:t>
      </w:r>
      <w:r>
        <w:rPr>
          <w:rFonts w:hint="eastAsia" w:cs="宋体"/>
          <w:color w:val="auto"/>
          <w:sz w:val="28"/>
          <w:szCs w:val="21"/>
          <w:lang w:val="en-US" w:eastAsia="zh-CN"/>
        </w:rPr>
        <w:t>Y523公路边沟的形式进行雨污分流改造。本次设计结合现场情况及《策划方案》，将对污水管道进行方案设计，并对现状雨水管渠进行校核。</w:t>
      </w:r>
    </w:p>
    <w:p>
      <w:pPr>
        <w:pStyle w:val="39"/>
        <w:numPr>
          <w:ilvl w:val="1"/>
          <w:numId w:val="9"/>
        </w:numPr>
        <w:bidi w:val="0"/>
        <w:rPr>
          <w:rFonts w:hint="eastAsia"/>
          <w:color w:val="auto"/>
          <w:lang w:val="en-US" w:eastAsia="zh-CN"/>
        </w:rPr>
      </w:pPr>
      <w:bookmarkStart w:id="48" w:name="_Toc20030"/>
      <w:bookmarkStart w:id="49" w:name="_Toc4219"/>
      <w:r>
        <w:rPr>
          <w:rFonts w:hint="eastAsia"/>
          <w:color w:val="auto"/>
          <w:lang w:val="en-US" w:eastAsia="zh-CN"/>
        </w:rPr>
        <w:t>污水管道方案</w:t>
      </w:r>
      <w:bookmarkEnd w:id="48"/>
    </w:p>
    <w:p>
      <w:pPr>
        <w:pStyle w:val="40"/>
        <w:numPr>
          <w:ilvl w:val="2"/>
          <w:numId w:val="18"/>
        </w:numPr>
        <w:rPr>
          <w:rFonts w:cs="宋体" w:asciiTheme="minorEastAsia" w:hAnsiTheme="minorEastAsia" w:eastAsiaTheme="minorEastAsia"/>
          <w:color w:val="auto"/>
          <w:sz w:val="28"/>
          <w:szCs w:val="28"/>
        </w:rPr>
      </w:pPr>
      <w:r>
        <w:rPr>
          <w:rFonts w:hint="eastAsia" w:cs="宋体" w:asciiTheme="minorEastAsia" w:hAnsiTheme="minorEastAsia" w:eastAsiaTheme="minorEastAsia"/>
          <w:color w:val="auto"/>
          <w:sz w:val="28"/>
          <w:szCs w:val="28"/>
          <w:lang w:eastAsia="zh-CN"/>
        </w:rPr>
        <w:t>排水水质要求</w:t>
      </w:r>
    </w:p>
    <w:p>
      <w:pPr>
        <w:numPr>
          <w:ilvl w:val="0"/>
          <w:numId w:val="0"/>
        </w:numPr>
        <w:ind w:firstLine="564" w:firstLineChars="200"/>
        <w:rPr>
          <w:rFonts w:hint="eastAsia" w:cs="宋体" w:asciiTheme="minorEastAsia" w:hAnsiTheme="minorEastAsia" w:eastAsiaTheme="minorEastAsia"/>
          <w:color w:val="auto"/>
          <w:sz w:val="28"/>
          <w:szCs w:val="21"/>
          <w:lang w:eastAsia="zh-CN"/>
        </w:rPr>
      </w:pPr>
      <w:r>
        <w:rPr>
          <w:rFonts w:hint="eastAsia" w:cs="宋体"/>
          <w:color w:val="auto"/>
          <w:sz w:val="28"/>
          <w:szCs w:val="21"/>
          <w:lang w:eastAsia="zh-CN"/>
        </w:rPr>
        <w:t>Y523片区现状主要污水排放为沿线村社居民、商铺、学校及企业的生活用水</w:t>
      </w:r>
      <w:r>
        <w:rPr>
          <w:rFonts w:hint="eastAsia" w:cs="宋体" w:asciiTheme="minorEastAsia" w:hAnsiTheme="minorEastAsia" w:eastAsiaTheme="minorEastAsia"/>
          <w:color w:val="auto"/>
          <w:sz w:val="28"/>
          <w:szCs w:val="21"/>
          <w:lang w:eastAsia="zh-CN"/>
        </w:rPr>
        <w:t>，污水浓度达到生活污水标准后排入市政管道。</w:t>
      </w:r>
    </w:p>
    <w:p>
      <w:pPr>
        <w:pStyle w:val="41"/>
        <w:numPr>
          <w:ilvl w:val="7"/>
          <w:numId w:val="9"/>
        </w:numPr>
        <w:rPr>
          <w:rFonts w:hint="eastAsia"/>
          <w:color w:val="auto"/>
          <w:sz w:val="24"/>
          <w:szCs w:val="21"/>
          <w:lang w:eastAsia="zh-CN"/>
        </w:rPr>
      </w:pPr>
      <w:r>
        <w:rPr>
          <w:rFonts w:hint="eastAsia" w:cs="宋体"/>
          <w:color w:val="auto"/>
          <w:sz w:val="28"/>
          <w:szCs w:val="21"/>
          <w:lang w:eastAsia="zh-CN"/>
        </w:rPr>
        <w:t>污水水质浓度指标</w:t>
      </w:r>
    </w:p>
    <w:tbl>
      <w:tblPr>
        <w:tblStyle w:val="32"/>
        <w:tblW w:w="84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9"/>
        <w:gridCol w:w="1209"/>
        <w:gridCol w:w="1209"/>
        <w:gridCol w:w="1209"/>
        <w:gridCol w:w="1210"/>
        <w:gridCol w:w="1210"/>
        <w:gridCol w:w="12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9" w:type="dxa"/>
          </w:tcPr>
          <w:p>
            <w:pPr>
              <w:keepNext/>
              <w:numPr>
                <w:ilvl w:val="0"/>
                <w:numId w:val="0"/>
              </w:numPr>
              <w:jc w:val="center"/>
              <w:rPr>
                <w:rFonts w:hint="eastAsia" w:asciiTheme="minorEastAsia" w:hAnsiTheme="minorEastAsia" w:eastAsiaTheme="minorEastAsia" w:cstheme="minorEastAsia"/>
                <w:color w:val="auto"/>
                <w:sz w:val="20"/>
                <w:szCs w:val="20"/>
                <w:vertAlign w:val="baseline"/>
                <w:lang w:val="en-US" w:eastAsia="zh-CN"/>
              </w:rPr>
            </w:pPr>
            <w:r>
              <w:rPr>
                <w:rFonts w:hint="eastAsia" w:asciiTheme="minorEastAsia" w:hAnsiTheme="minorEastAsia" w:eastAsiaTheme="minorEastAsia" w:cstheme="minorEastAsia"/>
                <w:color w:val="auto"/>
                <w:sz w:val="20"/>
                <w:szCs w:val="20"/>
                <w:vertAlign w:val="baseline"/>
                <w:lang w:val="en-US" w:eastAsia="zh-CN"/>
              </w:rPr>
              <w:t>项目</w:t>
            </w:r>
          </w:p>
        </w:tc>
        <w:tc>
          <w:tcPr>
            <w:tcW w:w="1209" w:type="dxa"/>
          </w:tcPr>
          <w:p>
            <w:pPr>
              <w:keepNext/>
              <w:numPr>
                <w:ilvl w:val="0"/>
                <w:numId w:val="0"/>
              </w:numPr>
              <w:jc w:val="center"/>
              <w:rPr>
                <w:rFonts w:hint="eastAsia" w:asciiTheme="minorEastAsia" w:hAnsiTheme="minorEastAsia" w:eastAsiaTheme="minorEastAsia" w:cstheme="minorEastAsia"/>
                <w:color w:val="auto"/>
                <w:sz w:val="20"/>
                <w:szCs w:val="20"/>
                <w:vertAlign w:val="baseline"/>
                <w:lang w:val="en-US" w:eastAsia="zh-CN"/>
              </w:rPr>
            </w:pPr>
            <w:r>
              <w:rPr>
                <w:rFonts w:hint="eastAsia" w:asciiTheme="minorEastAsia" w:hAnsiTheme="minorEastAsia" w:eastAsiaTheme="minorEastAsia" w:cstheme="minorEastAsia"/>
                <w:color w:val="auto"/>
                <w:sz w:val="20"/>
                <w:szCs w:val="20"/>
                <w:vertAlign w:val="baseline"/>
                <w:lang w:val="en-US" w:eastAsia="zh-CN"/>
              </w:rPr>
              <w:t>pH</w:t>
            </w:r>
          </w:p>
        </w:tc>
        <w:tc>
          <w:tcPr>
            <w:tcW w:w="1209" w:type="dxa"/>
          </w:tcPr>
          <w:p>
            <w:pPr>
              <w:keepNext/>
              <w:numPr>
                <w:ilvl w:val="0"/>
                <w:numId w:val="0"/>
              </w:numPr>
              <w:jc w:val="center"/>
              <w:rPr>
                <w:rFonts w:hint="eastAsia" w:asciiTheme="minorEastAsia" w:hAnsiTheme="minorEastAsia" w:eastAsiaTheme="minorEastAsia" w:cstheme="minorEastAsia"/>
                <w:color w:val="auto"/>
                <w:sz w:val="20"/>
                <w:szCs w:val="20"/>
                <w:vertAlign w:val="baseline"/>
                <w:lang w:val="en-US" w:eastAsia="zh-CN"/>
              </w:rPr>
            </w:pPr>
            <w:r>
              <w:rPr>
                <w:rFonts w:hint="eastAsia" w:asciiTheme="minorEastAsia" w:hAnsiTheme="minorEastAsia" w:eastAsiaTheme="minorEastAsia" w:cstheme="minorEastAsia"/>
                <w:color w:val="auto"/>
                <w:sz w:val="20"/>
                <w:szCs w:val="20"/>
                <w:vertAlign w:val="baseline"/>
                <w:lang w:val="en-US" w:eastAsia="zh-CN"/>
              </w:rPr>
              <w:t>CODcr</w:t>
            </w:r>
          </w:p>
        </w:tc>
        <w:tc>
          <w:tcPr>
            <w:tcW w:w="1209" w:type="dxa"/>
          </w:tcPr>
          <w:p>
            <w:pPr>
              <w:keepNext/>
              <w:numPr>
                <w:ilvl w:val="0"/>
                <w:numId w:val="0"/>
              </w:numPr>
              <w:jc w:val="center"/>
              <w:rPr>
                <w:rFonts w:hint="eastAsia" w:asciiTheme="minorEastAsia" w:hAnsiTheme="minorEastAsia" w:eastAsiaTheme="minorEastAsia" w:cstheme="minorEastAsia"/>
                <w:color w:val="auto"/>
                <w:sz w:val="20"/>
                <w:szCs w:val="20"/>
                <w:vertAlign w:val="baseline"/>
                <w:lang w:val="en-US" w:eastAsia="zh-CN"/>
              </w:rPr>
            </w:pPr>
            <w:r>
              <w:rPr>
                <w:rFonts w:hint="eastAsia" w:asciiTheme="minorEastAsia" w:hAnsiTheme="minorEastAsia" w:eastAsiaTheme="minorEastAsia" w:cstheme="minorEastAsia"/>
                <w:color w:val="auto"/>
                <w:sz w:val="20"/>
                <w:szCs w:val="20"/>
                <w:vertAlign w:val="baseline"/>
                <w:lang w:val="en-US" w:eastAsia="zh-CN"/>
              </w:rPr>
              <w:t>BOD</w:t>
            </w:r>
            <w:r>
              <w:rPr>
                <w:rFonts w:hint="eastAsia" w:asciiTheme="minorEastAsia" w:hAnsiTheme="minorEastAsia" w:eastAsiaTheme="minorEastAsia" w:cstheme="minorEastAsia"/>
                <w:color w:val="auto"/>
                <w:sz w:val="20"/>
                <w:szCs w:val="20"/>
                <w:vertAlign w:val="subscript"/>
                <w:lang w:val="en-US" w:eastAsia="zh-CN"/>
              </w:rPr>
              <w:t>5</w:t>
            </w:r>
          </w:p>
        </w:tc>
        <w:tc>
          <w:tcPr>
            <w:tcW w:w="1210" w:type="dxa"/>
          </w:tcPr>
          <w:p>
            <w:pPr>
              <w:keepNext/>
              <w:numPr>
                <w:ilvl w:val="0"/>
                <w:numId w:val="0"/>
              </w:numPr>
              <w:jc w:val="center"/>
              <w:rPr>
                <w:rFonts w:hint="eastAsia" w:asciiTheme="minorEastAsia" w:hAnsiTheme="minorEastAsia" w:eastAsiaTheme="minorEastAsia" w:cstheme="minorEastAsia"/>
                <w:color w:val="auto"/>
                <w:sz w:val="20"/>
                <w:szCs w:val="20"/>
                <w:vertAlign w:val="baseline"/>
                <w:lang w:val="en-US" w:eastAsia="zh-CN"/>
              </w:rPr>
            </w:pPr>
            <w:r>
              <w:rPr>
                <w:rFonts w:hint="eastAsia" w:asciiTheme="minorEastAsia" w:hAnsiTheme="minorEastAsia" w:eastAsiaTheme="minorEastAsia" w:cstheme="minorEastAsia"/>
                <w:color w:val="auto"/>
                <w:sz w:val="20"/>
                <w:szCs w:val="20"/>
                <w:vertAlign w:val="baseline"/>
                <w:lang w:val="en-US" w:eastAsia="zh-CN"/>
              </w:rPr>
              <w:t>NH</w:t>
            </w:r>
            <w:r>
              <w:rPr>
                <w:rFonts w:hint="eastAsia" w:asciiTheme="minorEastAsia" w:hAnsiTheme="minorEastAsia" w:eastAsiaTheme="minorEastAsia" w:cstheme="minorEastAsia"/>
                <w:color w:val="auto"/>
                <w:sz w:val="20"/>
                <w:szCs w:val="20"/>
                <w:vertAlign w:val="subscript"/>
                <w:lang w:val="en-US" w:eastAsia="zh-CN"/>
              </w:rPr>
              <w:t>3</w:t>
            </w:r>
            <w:r>
              <w:rPr>
                <w:rFonts w:hint="eastAsia" w:asciiTheme="minorEastAsia" w:hAnsiTheme="minorEastAsia" w:eastAsiaTheme="minorEastAsia" w:cstheme="minorEastAsia"/>
                <w:color w:val="auto"/>
                <w:sz w:val="20"/>
                <w:szCs w:val="20"/>
                <w:vertAlign w:val="baseline"/>
                <w:lang w:val="en-US" w:eastAsia="zh-CN"/>
              </w:rPr>
              <w:t>-N</w:t>
            </w:r>
          </w:p>
        </w:tc>
        <w:tc>
          <w:tcPr>
            <w:tcW w:w="1210" w:type="dxa"/>
          </w:tcPr>
          <w:p>
            <w:pPr>
              <w:keepNext/>
              <w:numPr>
                <w:ilvl w:val="0"/>
                <w:numId w:val="0"/>
              </w:numPr>
              <w:jc w:val="center"/>
              <w:rPr>
                <w:rFonts w:hint="eastAsia" w:asciiTheme="minorEastAsia" w:hAnsiTheme="minorEastAsia" w:eastAsiaTheme="minorEastAsia" w:cstheme="minorEastAsia"/>
                <w:color w:val="auto"/>
                <w:sz w:val="20"/>
                <w:szCs w:val="20"/>
                <w:vertAlign w:val="baseline"/>
                <w:lang w:val="en-US" w:eastAsia="zh-CN"/>
              </w:rPr>
            </w:pPr>
            <w:r>
              <w:rPr>
                <w:rFonts w:hint="eastAsia" w:asciiTheme="minorEastAsia" w:hAnsiTheme="minorEastAsia" w:eastAsiaTheme="minorEastAsia" w:cstheme="minorEastAsia"/>
                <w:color w:val="auto"/>
                <w:sz w:val="20"/>
                <w:szCs w:val="20"/>
                <w:vertAlign w:val="baseline"/>
                <w:lang w:val="en-US" w:eastAsia="zh-CN"/>
              </w:rPr>
              <w:t>TP</w:t>
            </w:r>
          </w:p>
        </w:tc>
        <w:tc>
          <w:tcPr>
            <w:tcW w:w="1210" w:type="dxa"/>
          </w:tcPr>
          <w:p>
            <w:pPr>
              <w:keepNext/>
              <w:numPr>
                <w:ilvl w:val="0"/>
                <w:numId w:val="0"/>
              </w:numPr>
              <w:jc w:val="center"/>
              <w:rPr>
                <w:rFonts w:hint="eastAsia" w:asciiTheme="minorEastAsia" w:hAnsiTheme="minorEastAsia" w:eastAsiaTheme="minorEastAsia" w:cstheme="minorEastAsia"/>
                <w:color w:val="auto"/>
                <w:sz w:val="20"/>
                <w:szCs w:val="20"/>
                <w:vertAlign w:val="baseline"/>
                <w:lang w:val="en-US" w:eastAsia="zh-CN"/>
              </w:rPr>
            </w:pPr>
            <w:r>
              <w:rPr>
                <w:rFonts w:hint="eastAsia" w:asciiTheme="minorEastAsia" w:hAnsiTheme="minorEastAsia" w:eastAsiaTheme="minorEastAsia" w:cstheme="minorEastAsia"/>
                <w:color w:val="auto"/>
                <w:sz w:val="20"/>
                <w:szCs w:val="20"/>
                <w:vertAlign w:val="baseline"/>
                <w:lang w:val="en-US" w:eastAsia="zh-CN"/>
              </w:rPr>
              <w:t>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9" w:type="dxa"/>
          </w:tcPr>
          <w:p>
            <w:pPr>
              <w:keepNext/>
              <w:numPr>
                <w:ilvl w:val="0"/>
                <w:numId w:val="0"/>
              </w:numPr>
              <w:jc w:val="center"/>
              <w:rPr>
                <w:rFonts w:hint="eastAsia" w:asciiTheme="minorEastAsia" w:hAnsiTheme="minorEastAsia" w:eastAsiaTheme="minorEastAsia" w:cstheme="minorEastAsia"/>
                <w:color w:val="auto"/>
                <w:sz w:val="20"/>
                <w:szCs w:val="20"/>
                <w:vertAlign w:val="baseline"/>
                <w:lang w:val="en-US" w:eastAsia="zh-CN"/>
              </w:rPr>
            </w:pPr>
            <w:r>
              <w:rPr>
                <w:rFonts w:hint="eastAsia" w:asciiTheme="minorEastAsia" w:hAnsiTheme="minorEastAsia" w:eastAsiaTheme="minorEastAsia" w:cstheme="minorEastAsia"/>
                <w:color w:val="auto"/>
                <w:sz w:val="20"/>
                <w:szCs w:val="20"/>
                <w:vertAlign w:val="baseline"/>
                <w:lang w:val="en-US" w:eastAsia="zh-CN"/>
              </w:rPr>
              <w:t>排水水质</w:t>
            </w:r>
          </w:p>
        </w:tc>
        <w:tc>
          <w:tcPr>
            <w:tcW w:w="1209" w:type="dxa"/>
          </w:tcPr>
          <w:p>
            <w:pPr>
              <w:keepNext/>
              <w:numPr>
                <w:ilvl w:val="0"/>
                <w:numId w:val="0"/>
              </w:numPr>
              <w:jc w:val="center"/>
              <w:rPr>
                <w:rFonts w:hint="eastAsia" w:asciiTheme="minorEastAsia" w:hAnsiTheme="minorEastAsia" w:eastAsiaTheme="minorEastAsia" w:cstheme="minorEastAsia"/>
                <w:color w:val="auto"/>
                <w:sz w:val="20"/>
                <w:szCs w:val="20"/>
                <w:vertAlign w:val="baseline"/>
                <w:lang w:val="en-US" w:eastAsia="zh-CN"/>
              </w:rPr>
            </w:pPr>
            <w:r>
              <w:rPr>
                <w:rFonts w:hint="eastAsia" w:asciiTheme="minorEastAsia" w:hAnsiTheme="minorEastAsia" w:eastAsiaTheme="minorEastAsia" w:cstheme="minorEastAsia"/>
                <w:color w:val="auto"/>
                <w:sz w:val="20"/>
                <w:szCs w:val="20"/>
                <w:vertAlign w:val="baseline"/>
                <w:lang w:val="en-US" w:eastAsia="zh-CN"/>
              </w:rPr>
              <w:t>6—9</w:t>
            </w:r>
          </w:p>
        </w:tc>
        <w:tc>
          <w:tcPr>
            <w:tcW w:w="1209" w:type="dxa"/>
          </w:tcPr>
          <w:p>
            <w:pPr>
              <w:keepNext/>
              <w:numPr>
                <w:ilvl w:val="0"/>
                <w:numId w:val="0"/>
              </w:numPr>
              <w:jc w:val="center"/>
              <w:rPr>
                <w:rFonts w:hint="eastAsia" w:asciiTheme="minorEastAsia" w:hAnsiTheme="minorEastAsia" w:eastAsiaTheme="minorEastAsia" w:cstheme="minorEastAsia"/>
                <w:color w:val="auto"/>
                <w:sz w:val="20"/>
                <w:szCs w:val="20"/>
                <w:vertAlign w:val="baseline"/>
                <w:lang w:val="en-US" w:eastAsia="zh-CN"/>
              </w:rPr>
            </w:pPr>
            <w:r>
              <w:rPr>
                <w:rFonts w:hint="eastAsia" w:asciiTheme="minorEastAsia" w:hAnsiTheme="minorEastAsia" w:eastAsiaTheme="minorEastAsia" w:cstheme="minorEastAsia"/>
                <w:color w:val="auto"/>
                <w:sz w:val="20"/>
                <w:szCs w:val="20"/>
                <w:vertAlign w:val="baseline"/>
                <w:lang w:val="en-US" w:eastAsia="zh-CN"/>
              </w:rPr>
              <w:t>120—150</w:t>
            </w:r>
          </w:p>
        </w:tc>
        <w:tc>
          <w:tcPr>
            <w:tcW w:w="1209" w:type="dxa"/>
          </w:tcPr>
          <w:p>
            <w:pPr>
              <w:keepNext/>
              <w:numPr>
                <w:ilvl w:val="0"/>
                <w:numId w:val="0"/>
              </w:numPr>
              <w:jc w:val="center"/>
              <w:rPr>
                <w:rFonts w:hint="eastAsia" w:asciiTheme="minorEastAsia" w:hAnsiTheme="minorEastAsia" w:eastAsiaTheme="minorEastAsia" w:cstheme="minorEastAsia"/>
                <w:color w:val="auto"/>
                <w:sz w:val="20"/>
                <w:szCs w:val="20"/>
                <w:vertAlign w:val="baseline"/>
                <w:lang w:val="en-US" w:eastAsia="zh-CN"/>
              </w:rPr>
            </w:pPr>
            <w:r>
              <w:rPr>
                <w:rFonts w:hint="eastAsia" w:asciiTheme="minorEastAsia" w:hAnsiTheme="minorEastAsia" w:eastAsiaTheme="minorEastAsia" w:cstheme="minorEastAsia"/>
                <w:color w:val="auto"/>
                <w:sz w:val="20"/>
                <w:szCs w:val="20"/>
                <w:vertAlign w:val="baseline"/>
                <w:lang w:val="en-US" w:eastAsia="zh-CN"/>
              </w:rPr>
              <w:t>50—100</w:t>
            </w:r>
          </w:p>
        </w:tc>
        <w:tc>
          <w:tcPr>
            <w:tcW w:w="1210" w:type="dxa"/>
          </w:tcPr>
          <w:p>
            <w:pPr>
              <w:keepNext/>
              <w:numPr>
                <w:ilvl w:val="0"/>
                <w:numId w:val="0"/>
              </w:numPr>
              <w:jc w:val="center"/>
              <w:rPr>
                <w:rFonts w:hint="eastAsia" w:asciiTheme="minorEastAsia" w:hAnsiTheme="minorEastAsia" w:eastAsiaTheme="minorEastAsia" w:cstheme="minorEastAsia"/>
                <w:color w:val="auto"/>
                <w:sz w:val="20"/>
                <w:szCs w:val="20"/>
                <w:vertAlign w:val="baseline"/>
                <w:lang w:val="en-US" w:eastAsia="zh-CN"/>
              </w:rPr>
            </w:pPr>
            <w:r>
              <w:rPr>
                <w:rFonts w:hint="eastAsia" w:asciiTheme="minorEastAsia" w:hAnsiTheme="minorEastAsia" w:eastAsiaTheme="minorEastAsia" w:cstheme="minorEastAsia"/>
                <w:color w:val="auto"/>
                <w:sz w:val="20"/>
                <w:szCs w:val="20"/>
                <w:vertAlign w:val="baseline"/>
                <w:lang w:val="en-US" w:eastAsia="zh-CN"/>
              </w:rPr>
              <w:t>12—20</w:t>
            </w:r>
          </w:p>
        </w:tc>
        <w:tc>
          <w:tcPr>
            <w:tcW w:w="1210" w:type="dxa"/>
          </w:tcPr>
          <w:p>
            <w:pPr>
              <w:keepNext/>
              <w:numPr>
                <w:ilvl w:val="0"/>
                <w:numId w:val="0"/>
              </w:numPr>
              <w:jc w:val="center"/>
              <w:rPr>
                <w:rFonts w:hint="eastAsia" w:asciiTheme="minorEastAsia" w:hAnsiTheme="minorEastAsia" w:eastAsiaTheme="minorEastAsia" w:cstheme="minorEastAsia"/>
                <w:color w:val="auto"/>
                <w:sz w:val="20"/>
                <w:szCs w:val="20"/>
                <w:vertAlign w:val="baseline"/>
                <w:lang w:val="en-US" w:eastAsia="zh-CN"/>
              </w:rPr>
            </w:pPr>
            <w:r>
              <w:rPr>
                <w:rFonts w:hint="eastAsia" w:asciiTheme="minorEastAsia" w:hAnsiTheme="minorEastAsia" w:eastAsiaTheme="minorEastAsia" w:cstheme="minorEastAsia"/>
                <w:color w:val="auto"/>
                <w:sz w:val="20"/>
                <w:szCs w:val="20"/>
                <w:vertAlign w:val="baseline"/>
                <w:lang w:val="en-US" w:eastAsia="zh-CN"/>
              </w:rPr>
              <w:t>1.0—2.5</w:t>
            </w:r>
          </w:p>
        </w:tc>
        <w:tc>
          <w:tcPr>
            <w:tcW w:w="1210" w:type="dxa"/>
          </w:tcPr>
          <w:p>
            <w:pPr>
              <w:keepNext/>
              <w:numPr>
                <w:ilvl w:val="0"/>
                <w:numId w:val="0"/>
              </w:numPr>
              <w:jc w:val="center"/>
              <w:rPr>
                <w:rFonts w:hint="eastAsia" w:asciiTheme="minorEastAsia" w:hAnsiTheme="minorEastAsia" w:eastAsiaTheme="minorEastAsia" w:cstheme="minorEastAsia"/>
                <w:color w:val="auto"/>
                <w:sz w:val="20"/>
                <w:szCs w:val="20"/>
                <w:vertAlign w:val="baseline"/>
                <w:lang w:val="en-US" w:eastAsia="zh-CN"/>
              </w:rPr>
            </w:pPr>
            <w:r>
              <w:rPr>
                <w:rFonts w:hint="eastAsia" w:asciiTheme="minorEastAsia" w:hAnsiTheme="minorEastAsia" w:eastAsiaTheme="minorEastAsia" w:cstheme="minorEastAsia"/>
                <w:color w:val="auto"/>
                <w:sz w:val="20"/>
                <w:szCs w:val="20"/>
                <w:vertAlign w:val="baseline"/>
                <w:lang w:val="en-US" w:eastAsia="zh-CN"/>
              </w:rPr>
              <w:t>120—150</w:t>
            </w:r>
          </w:p>
        </w:tc>
      </w:tr>
    </w:tbl>
    <w:p>
      <w:pPr>
        <w:numPr>
          <w:ilvl w:val="0"/>
          <w:numId w:val="0"/>
        </w:numPr>
        <w:ind w:firstLine="564" w:firstLineChars="200"/>
        <w:rPr>
          <w:rFonts w:hint="eastAsia" w:cs="宋体"/>
          <w:color w:val="auto"/>
          <w:sz w:val="28"/>
          <w:szCs w:val="21"/>
          <w:lang w:eastAsia="zh-CN"/>
        </w:rPr>
      </w:pPr>
      <w:r>
        <w:rPr>
          <w:rFonts w:hint="eastAsia" w:cs="宋体"/>
          <w:color w:val="auto"/>
          <w:sz w:val="28"/>
          <w:szCs w:val="21"/>
          <w:lang w:eastAsia="zh-CN"/>
        </w:rPr>
        <w:t>其他性质的排水户，排水水质应按《污水排入城镇下水道水质标准》（CJ343-2010）中相关要求执行。</w:t>
      </w:r>
    </w:p>
    <w:p>
      <w:pPr>
        <w:numPr>
          <w:ilvl w:val="0"/>
          <w:numId w:val="0"/>
        </w:numPr>
        <w:ind w:firstLine="564" w:firstLineChars="200"/>
        <w:rPr>
          <w:rFonts w:hint="default" w:cs="宋体"/>
          <w:color w:val="auto"/>
          <w:sz w:val="28"/>
          <w:szCs w:val="21"/>
          <w:lang w:val="en-US" w:eastAsia="zh-CN"/>
        </w:rPr>
      </w:pPr>
      <w:r>
        <w:rPr>
          <w:rFonts w:hint="eastAsia" w:cs="宋体"/>
          <w:color w:val="auto"/>
          <w:sz w:val="28"/>
          <w:szCs w:val="21"/>
          <w:lang w:eastAsia="zh-CN"/>
        </w:rPr>
        <w:t>对于工程范围内的企业，尤其是排放生产废水的企业，需要企业内部自行建设专业的废水处理设施，处理后的污水水质标准达到广东省地方标准《水污染排放限值》（</w:t>
      </w:r>
      <w:r>
        <w:rPr>
          <w:rFonts w:hint="eastAsia" w:cs="宋体"/>
          <w:color w:val="auto"/>
          <w:sz w:val="28"/>
          <w:szCs w:val="21"/>
          <w:lang w:val="en-US" w:eastAsia="zh-CN"/>
        </w:rPr>
        <w:t>DB44/26-2001</w:t>
      </w:r>
      <w:r>
        <w:rPr>
          <w:rFonts w:hint="eastAsia" w:cs="宋体"/>
          <w:color w:val="auto"/>
          <w:sz w:val="28"/>
          <w:szCs w:val="21"/>
          <w:lang w:eastAsia="zh-CN"/>
        </w:rPr>
        <w:t>）中规定的各项标准后方可排放排入市政污水管道中。</w:t>
      </w:r>
    </w:p>
    <w:bookmarkEnd w:id="49"/>
    <w:p>
      <w:pPr>
        <w:pStyle w:val="40"/>
        <w:numPr>
          <w:ilvl w:val="2"/>
          <w:numId w:val="18"/>
        </w:numPr>
        <w:rPr>
          <w:rFonts w:cs="宋体" w:asciiTheme="minorEastAsia" w:hAnsiTheme="minorEastAsia" w:eastAsiaTheme="minorEastAsia"/>
          <w:color w:val="auto"/>
          <w:sz w:val="28"/>
          <w:szCs w:val="28"/>
        </w:rPr>
      </w:pPr>
      <w:bookmarkStart w:id="50" w:name="_Toc4259"/>
      <w:r>
        <w:rPr>
          <w:rFonts w:cs="宋体" w:asciiTheme="minorEastAsia" w:hAnsiTheme="minorEastAsia" w:eastAsiaTheme="minorEastAsia"/>
          <w:color w:val="auto"/>
          <w:sz w:val="28"/>
          <w:szCs w:val="28"/>
        </w:rPr>
        <w:t>污水量</w:t>
      </w:r>
      <w:bookmarkEnd w:id="50"/>
      <w:r>
        <w:rPr>
          <w:rFonts w:hint="eastAsia" w:cs="宋体" w:asciiTheme="minorEastAsia" w:hAnsiTheme="minorEastAsia" w:eastAsiaTheme="minorEastAsia"/>
          <w:color w:val="auto"/>
          <w:sz w:val="28"/>
          <w:szCs w:val="28"/>
          <w:lang w:eastAsia="zh-CN"/>
        </w:rPr>
        <w:t>计算</w:t>
      </w:r>
    </w:p>
    <w:p>
      <w:pPr>
        <w:numPr>
          <w:ilvl w:val="0"/>
          <w:numId w:val="0"/>
        </w:numPr>
        <w:jc w:val="center"/>
        <w:rPr>
          <w:rFonts w:hint="eastAsia" w:eastAsia="宋体" w:cs="宋体"/>
          <w:color w:val="auto"/>
          <w:sz w:val="28"/>
          <w:szCs w:val="21"/>
          <w:lang w:eastAsia="zh-CN"/>
        </w:rPr>
      </w:pPr>
      <w:r>
        <w:rPr>
          <w:color w:val="auto"/>
        </w:rPr>
        <w:drawing>
          <wp:inline distT="0" distB="0" distL="114300" distR="114300">
            <wp:extent cx="5635625" cy="4890135"/>
            <wp:effectExtent l="0" t="0" r="3175" b="5715"/>
            <wp:docPr id="7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
                    <pic:cNvPicPr>
                      <a:picLocks noChangeAspect="1"/>
                    </pic:cNvPicPr>
                  </pic:nvPicPr>
                  <pic:blipFill>
                    <a:blip r:embed="rId55"/>
                    <a:stretch>
                      <a:fillRect/>
                    </a:stretch>
                  </pic:blipFill>
                  <pic:spPr>
                    <a:xfrm>
                      <a:off x="0" y="0"/>
                      <a:ext cx="5635625" cy="4890135"/>
                    </a:xfrm>
                    <a:prstGeom prst="rect">
                      <a:avLst/>
                    </a:prstGeom>
                    <a:noFill/>
                    <a:ln>
                      <a:noFill/>
                    </a:ln>
                  </pic:spPr>
                </pic:pic>
              </a:graphicData>
            </a:graphic>
          </wp:inline>
        </w:drawing>
      </w:r>
    </w:p>
    <w:p>
      <w:pPr>
        <w:pStyle w:val="44"/>
        <w:numPr>
          <w:ilvl w:val="8"/>
          <w:numId w:val="19"/>
        </w:numPr>
        <w:rPr>
          <w:rFonts w:hint="default"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项目近期纳污范围示意图</w:t>
      </w:r>
    </w:p>
    <w:p>
      <w:pPr>
        <w:numPr>
          <w:ilvl w:val="0"/>
          <w:numId w:val="0"/>
        </w:numPr>
        <w:jc w:val="center"/>
        <w:rPr>
          <w:rFonts w:hint="eastAsia" w:eastAsia="宋体" w:cs="宋体"/>
          <w:color w:val="auto"/>
          <w:sz w:val="28"/>
          <w:szCs w:val="21"/>
          <w:lang w:eastAsia="zh-CN"/>
        </w:rPr>
      </w:pPr>
      <w:r>
        <w:rPr>
          <w:rFonts w:hint="eastAsia" w:eastAsia="宋体" w:cs="宋体"/>
          <w:color w:val="auto"/>
          <w:sz w:val="28"/>
          <w:szCs w:val="21"/>
          <w:lang w:eastAsia="zh-CN"/>
        </w:rPr>
        <w:drawing>
          <wp:inline distT="0" distB="0" distL="114300" distR="114300">
            <wp:extent cx="3702685" cy="4319905"/>
            <wp:effectExtent l="0" t="0" r="12065" b="4445"/>
            <wp:docPr id="42" name="图片 42" descr="Y523管段-规划污水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Y523管段-规划污水管"/>
                    <pic:cNvPicPr>
                      <a:picLocks noChangeAspect="1"/>
                    </pic:cNvPicPr>
                  </pic:nvPicPr>
                  <pic:blipFill>
                    <a:blip r:embed="rId63"/>
                    <a:srcRect l="15851" r="15851" b="393"/>
                    <a:stretch>
                      <a:fillRect/>
                    </a:stretch>
                  </pic:blipFill>
                  <pic:spPr>
                    <a:xfrm>
                      <a:off x="0" y="0"/>
                      <a:ext cx="3702685" cy="4319905"/>
                    </a:xfrm>
                    <a:prstGeom prst="rect">
                      <a:avLst/>
                    </a:prstGeom>
                  </pic:spPr>
                </pic:pic>
              </a:graphicData>
            </a:graphic>
          </wp:inline>
        </w:drawing>
      </w:r>
    </w:p>
    <w:p>
      <w:pPr>
        <w:pStyle w:val="44"/>
        <w:numPr>
          <w:ilvl w:val="8"/>
          <w:numId w:val="9"/>
        </w:numPr>
        <w:bidi w:val="0"/>
        <w:rPr>
          <w:rFonts w:hint="eastAsia" w:eastAsia="宋体" w:cs="宋体"/>
          <w:color w:val="auto"/>
          <w:sz w:val="28"/>
          <w:szCs w:val="21"/>
          <w:lang w:eastAsia="zh-CN"/>
        </w:rPr>
      </w:pPr>
      <w:r>
        <w:rPr>
          <w:rFonts w:hint="eastAsia"/>
          <w:color w:val="auto"/>
          <w:lang w:val="en-US" w:eastAsia="zh-CN"/>
        </w:rPr>
        <w:t>Y523</w:t>
      </w:r>
      <w:r>
        <w:rPr>
          <w:rFonts w:hint="eastAsia"/>
          <w:color w:val="auto"/>
          <w:lang w:eastAsia="zh-CN"/>
        </w:rPr>
        <w:t>土地利用规划图</w:t>
      </w:r>
      <w:r>
        <w:rPr>
          <w:rFonts w:hint="eastAsia" w:cs="宋体" w:asciiTheme="minorEastAsia" w:hAnsiTheme="minorEastAsia" w:eastAsiaTheme="minorEastAsia"/>
          <w:color w:val="auto"/>
          <w:sz w:val="28"/>
          <w:szCs w:val="21"/>
          <w:lang w:val="en-US" w:eastAsia="zh-CN"/>
        </w:rPr>
        <w:t>（远期为2035年）</w:t>
      </w:r>
    </w:p>
    <w:p>
      <w:pPr>
        <w:keepNext w:val="0"/>
        <w:keepLines w:val="0"/>
        <w:pageBreakBefore w:val="0"/>
        <w:widowControl w:val="0"/>
        <w:numPr>
          <w:ilvl w:val="0"/>
          <w:numId w:val="0"/>
        </w:numPr>
        <w:kinsoku/>
        <w:wordWrap/>
        <w:overflowPunct/>
        <w:topLinePunct w:val="0"/>
        <w:autoSpaceDE/>
        <w:autoSpaceDN/>
        <w:bidi w:val="0"/>
        <w:adjustRightInd/>
        <w:snapToGrid/>
        <w:ind w:leftChars="0" w:firstLine="564" w:firstLineChars="200"/>
        <w:textAlignment w:val="auto"/>
        <w:rPr>
          <w:rFonts w:hint="eastAsia" w:cs="宋体"/>
          <w:color w:val="auto"/>
          <w:sz w:val="28"/>
          <w:szCs w:val="21"/>
          <w:lang w:val="en-US" w:eastAsia="zh-CN"/>
        </w:rPr>
      </w:pPr>
      <w:r>
        <w:rPr>
          <w:rFonts w:hint="eastAsia" w:cs="宋体"/>
          <w:color w:val="auto"/>
          <w:sz w:val="28"/>
          <w:szCs w:val="21"/>
          <w:lang w:val="en-US" w:eastAsia="zh-CN"/>
        </w:rPr>
        <w:t>因Y523片区属中心城区边界，目前土地利用规划范围仅为罗洞牌坊路口处周边地块，此处规划为二类工业用地，目前该工业用地上已建成广州天马摩托车配件厂、信平电子电路板厂、松峰机械等数家工业企业，故此处规划用地与现状用地一致。Y523片区内其他地块暂无土地利用规划。</w:t>
      </w:r>
    </w:p>
    <w:p>
      <w:pPr>
        <w:pStyle w:val="15"/>
        <w:ind w:firstLine="565"/>
        <w:rPr>
          <w:rFonts w:hint="eastAsia" w:cs="宋体" w:asciiTheme="minorEastAsia" w:hAnsiTheme="minorEastAsia" w:eastAsiaTheme="minorEastAsia"/>
          <w:color w:val="auto"/>
          <w:sz w:val="28"/>
          <w:szCs w:val="22"/>
          <w:lang w:eastAsia="zh-CN"/>
        </w:rPr>
      </w:pPr>
      <w:r>
        <w:rPr>
          <w:rFonts w:cs="宋体" w:asciiTheme="minorEastAsia" w:hAnsiTheme="minorEastAsia" w:eastAsiaTheme="minorEastAsia"/>
          <w:color w:val="auto"/>
          <w:sz w:val="28"/>
          <w:szCs w:val="22"/>
        </w:rPr>
        <w:t>本项目</w:t>
      </w:r>
      <w:r>
        <w:rPr>
          <w:rFonts w:hint="eastAsia" w:cs="宋体" w:asciiTheme="minorEastAsia" w:hAnsiTheme="minorEastAsia" w:eastAsiaTheme="minorEastAsia"/>
          <w:color w:val="auto"/>
          <w:sz w:val="28"/>
          <w:szCs w:val="22"/>
          <w:lang w:eastAsia="zh-CN"/>
        </w:rPr>
        <w:t>根据实地踏勘，与街道办事处、区自来水公司、村委、沿线企业调研得知现状人口数据及用水量数据。</w:t>
      </w:r>
    </w:p>
    <w:p>
      <w:pPr>
        <w:pStyle w:val="15"/>
        <w:ind w:firstLine="565"/>
        <w:rPr>
          <w:rFonts w:hint="eastAsia" w:cs="宋体"/>
          <w:color w:val="auto"/>
          <w:sz w:val="28"/>
          <w:szCs w:val="18"/>
          <w:lang w:val="en-US" w:eastAsia="zh-CN"/>
        </w:rPr>
      </w:pPr>
      <w:r>
        <w:rPr>
          <w:rFonts w:hint="eastAsia" w:asciiTheme="minorEastAsia" w:hAnsiTheme="minorEastAsia" w:eastAsiaTheme="minorEastAsia"/>
          <w:color w:val="auto"/>
          <w:sz w:val="28"/>
          <w:szCs w:val="28"/>
          <w:lang w:eastAsia="zh-CN"/>
        </w:rPr>
        <w:t>罗洞村及外来人口、商铺的总人口数为</w:t>
      </w:r>
      <w:r>
        <w:rPr>
          <w:rFonts w:hint="eastAsia" w:asciiTheme="minorEastAsia" w:hAnsiTheme="minorEastAsia" w:eastAsiaTheme="minorEastAsia"/>
          <w:color w:val="auto"/>
          <w:sz w:val="28"/>
          <w:szCs w:val="28"/>
          <w:lang w:val="en-US" w:eastAsia="zh-CN"/>
        </w:rPr>
        <w:t>2912人，综合用水定额采用150L/人*d；罗洞小学为走读制学校，共有师生约600人，平均日用水定额采用40L/人*d；此部分排水单元仅产生生活污水，不产生其他污废水排放，故</w:t>
      </w:r>
      <w:r>
        <w:rPr>
          <w:rFonts w:hint="eastAsia" w:cs="宋体"/>
          <w:color w:val="auto"/>
          <w:sz w:val="28"/>
          <w:szCs w:val="18"/>
          <w:lang w:val="en-US" w:eastAsia="zh-CN"/>
        </w:rPr>
        <w:t>根据《</w:t>
      </w:r>
      <w:r>
        <w:rPr>
          <w:rFonts w:hint="eastAsia" w:cs="宋体"/>
          <w:color w:val="auto"/>
          <w:sz w:val="28"/>
          <w:szCs w:val="18"/>
          <w:lang w:val="en-US" w:eastAsia="zh-CN"/>
        </w:rPr>
        <w:fldChar w:fldCharType="begin"/>
      </w:r>
      <w:r>
        <w:rPr>
          <w:rFonts w:hint="eastAsia" w:cs="宋体"/>
          <w:color w:val="auto"/>
          <w:sz w:val="28"/>
          <w:szCs w:val="18"/>
          <w:lang w:val="en-US" w:eastAsia="zh-CN"/>
        </w:rPr>
        <w:instrText xml:space="preserve"> HYPERLINK "http://www.jianbiaoku.com/webarbs/book/54774/2884110.shtml" \t "http://www.jianbiaoku.com/webarbs/book/54774/_self" </w:instrText>
      </w:r>
      <w:r>
        <w:rPr>
          <w:rFonts w:hint="eastAsia" w:cs="宋体"/>
          <w:color w:val="auto"/>
          <w:sz w:val="28"/>
          <w:szCs w:val="18"/>
          <w:lang w:val="en-US" w:eastAsia="zh-CN"/>
        </w:rPr>
        <w:fldChar w:fldCharType="separate"/>
      </w:r>
      <w:r>
        <w:rPr>
          <w:rFonts w:hint="eastAsia" w:cs="宋体"/>
          <w:color w:val="auto"/>
          <w:sz w:val="28"/>
          <w:szCs w:val="18"/>
          <w:lang w:val="en-US" w:eastAsia="zh-CN"/>
        </w:rPr>
        <w:t>室外排水设计规范》（GB50014-2021</w:t>
      </w:r>
      <w:r>
        <w:rPr>
          <w:rFonts w:hint="eastAsia" w:cs="宋体"/>
          <w:color w:val="auto"/>
          <w:sz w:val="28"/>
          <w:szCs w:val="18"/>
          <w:lang w:val="en-US" w:eastAsia="zh-CN"/>
        </w:rPr>
        <w:fldChar w:fldCharType="end"/>
      </w:r>
      <w:r>
        <w:rPr>
          <w:rFonts w:hint="eastAsia" w:cs="宋体"/>
          <w:color w:val="auto"/>
          <w:sz w:val="28"/>
          <w:szCs w:val="18"/>
          <w:lang w:val="en-US" w:eastAsia="zh-CN"/>
        </w:rPr>
        <w:t>），居民生活用水定额和综合生活污水定额应根据当地采用的用水定额，结合建筑内部给排水设施水平确定，可按当地相关用水定额的80％～90％采用。本次设计采用90%。</w:t>
      </w:r>
    </w:p>
    <w:p>
      <w:pPr>
        <w:pageBreakBefore w:val="0"/>
        <w:kinsoku/>
        <w:wordWrap/>
        <w:overflowPunct/>
        <w:topLinePunct w:val="0"/>
        <w:bidi w:val="0"/>
        <w:spacing w:line="360" w:lineRule="auto"/>
        <w:ind w:left="0" w:leftChars="0" w:firstLine="282" w:firstLineChars="100"/>
        <w:rPr>
          <w:rFonts w:hint="default" w:ascii="Times New Roman" w:hAnsi="Times New Roman" w:cs="宋体"/>
          <w:b w:val="0"/>
          <w:bCs w:val="0"/>
          <w:color w:val="auto"/>
          <w:sz w:val="28"/>
          <w:szCs w:val="21"/>
        </w:rPr>
      </w:pPr>
      <w:r>
        <w:rPr>
          <w:rFonts w:hint="eastAsia" w:ascii="Times New Roman" w:hAnsi="Times New Roman" w:cs="宋体"/>
          <w:b w:val="0"/>
          <w:bCs w:val="0"/>
          <w:color w:val="auto"/>
          <w:kern w:val="0"/>
          <w:sz w:val="28"/>
          <w:szCs w:val="22"/>
          <w:lang w:eastAsia="zh-CN"/>
        </w:rPr>
        <w:t>故</w:t>
      </w:r>
      <w:r>
        <w:rPr>
          <w:rFonts w:hint="default" w:ascii="Times New Roman" w:hAnsi="Times New Roman" w:cs="宋体"/>
          <w:b w:val="0"/>
          <w:bCs w:val="0"/>
          <w:color w:val="auto"/>
          <w:kern w:val="0"/>
          <w:sz w:val="28"/>
          <w:szCs w:val="22"/>
        </w:rPr>
        <w:t>污水量按下式计算：</w:t>
      </w:r>
    </w:p>
    <w:p>
      <w:pPr>
        <w:pageBreakBefore w:val="0"/>
        <w:kinsoku/>
        <w:wordWrap/>
        <w:overflowPunct/>
        <w:topLinePunct w:val="0"/>
        <w:bidi w:val="0"/>
        <w:spacing w:line="360" w:lineRule="auto"/>
        <w:ind w:left="0" w:leftChars="0" w:firstLine="0" w:firstLineChars="0"/>
        <w:jc w:val="center"/>
        <w:rPr>
          <w:rFonts w:hint="default" w:ascii="Times New Roman" w:hAnsi="Times New Roman" w:eastAsia="宋体" w:cs="宋体"/>
          <w:b w:val="0"/>
          <w:bCs w:val="0"/>
          <w:color w:val="auto"/>
          <w:kern w:val="0"/>
          <w:sz w:val="28"/>
          <w:szCs w:val="22"/>
          <w:lang w:val="en-US" w:eastAsia="zh-CN"/>
        </w:rPr>
      </w:pPr>
      <w:r>
        <w:rPr>
          <w:rFonts w:hint="default" w:ascii="Times New Roman" w:hAnsi="Times New Roman" w:cs="宋体"/>
          <w:b w:val="0"/>
          <w:bCs w:val="0"/>
          <w:color w:val="auto"/>
          <w:kern w:val="0"/>
          <w:sz w:val="28"/>
          <w:szCs w:val="22"/>
        </w:rPr>
        <w:t>Q=</w:t>
      </w:r>
      <w:r>
        <w:rPr>
          <w:rFonts w:hint="default" w:ascii="Times New Roman" w:hAnsi="Times New Roman" w:cs="宋体"/>
          <w:b w:val="0"/>
          <w:bCs w:val="0"/>
          <w:color w:val="auto"/>
          <w:sz w:val="28"/>
          <w:szCs w:val="21"/>
        </w:rPr>
        <w:t>P</w:t>
      </w:r>
      <w:r>
        <w:rPr>
          <w:rFonts w:hint="eastAsia" w:cs="宋体"/>
          <w:b w:val="0"/>
          <w:bCs w:val="0"/>
          <w:color w:val="auto"/>
          <w:sz w:val="28"/>
          <w:szCs w:val="21"/>
          <w:lang w:val="en-US" w:eastAsia="zh-CN"/>
        </w:rPr>
        <w:t>×</w:t>
      </w:r>
      <w:r>
        <w:rPr>
          <w:rFonts w:hint="default" w:ascii="Times New Roman" w:hAnsi="Times New Roman" w:cs="宋体"/>
          <w:b w:val="0"/>
          <w:bCs w:val="0"/>
          <w:color w:val="auto"/>
          <w:sz w:val="28"/>
          <w:szCs w:val="21"/>
        </w:rPr>
        <w:t>q</w:t>
      </w:r>
      <w:r>
        <w:rPr>
          <w:rFonts w:hint="eastAsia" w:cs="宋体"/>
          <w:b w:val="0"/>
          <w:bCs w:val="0"/>
          <w:color w:val="auto"/>
          <w:sz w:val="28"/>
          <w:szCs w:val="21"/>
          <w:lang w:val="en-US" w:eastAsia="zh-CN"/>
        </w:rPr>
        <w:t>×0.9×1.1</w:t>
      </w:r>
      <w:r>
        <w:rPr>
          <w:rFonts w:hint="default" w:ascii="Times New Roman" w:hAnsi="Times New Roman" w:cs="宋体"/>
          <w:b w:val="0"/>
          <w:bCs w:val="0"/>
          <w:color w:val="auto"/>
          <w:sz w:val="28"/>
          <w:szCs w:val="21"/>
        </w:rPr>
        <w:t>/1000</w:t>
      </w:r>
    </w:p>
    <w:p>
      <w:pPr>
        <w:pageBreakBefore w:val="0"/>
        <w:kinsoku/>
        <w:wordWrap/>
        <w:overflowPunct/>
        <w:topLinePunct w:val="0"/>
        <w:bidi w:val="0"/>
        <w:spacing w:line="360" w:lineRule="auto"/>
        <w:ind w:firstLine="480"/>
        <w:rPr>
          <w:rFonts w:hint="eastAsia" w:ascii="Times New Roman" w:hAnsi="Times New Roman" w:eastAsia="宋体" w:cs="宋体"/>
          <w:b w:val="0"/>
          <w:bCs w:val="0"/>
          <w:color w:val="auto"/>
          <w:kern w:val="0"/>
          <w:sz w:val="28"/>
          <w:szCs w:val="22"/>
          <w:lang w:eastAsia="zh-CN"/>
        </w:rPr>
      </w:pPr>
      <w:r>
        <w:rPr>
          <w:rFonts w:hint="default" w:ascii="Times New Roman" w:hAnsi="Times New Roman" w:cs="宋体"/>
          <w:b w:val="0"/>
          <w:bCs w:val="0"/>
          <w:color w:val="auto"/>
          <w:kern w:val="0"/>
          <w:sz w:val="28"/>
          <w:szCs w:val="22"/>
        </w:rPr>
        <w:t>其中：</w:t>
      </w:r>
      <w:r>
        <w:rPr>
          <w:rFonts w:hint="eastAsia" w:cs="宋体"/>
          <w:b w:val="0"/>
          <w:bCs w:val="0"/>
          <w:color w:val="auto"/>
          <w:kern w:val="0"/>
          <w:sz w:val="28"/>
          <w:szCs w:val="22"/>
          <w:lang w:val="en-US" w:eastAsia="zh-CN"/>
        </w:rPr>
        <w:t>Q</w:t>
      </w:r>
      <w:r>
        <w:rPr>
          <w:rFonts w:hint="default" w:ascii="Times New Roman" w:hAnsi="Times New Roman" w:cs="宋体"/>
          <w:b w:val="0"/>
          <w:bCs w:val="0"/>
          <w:color w:val="auto"/>
          <w:kern w:val="0"/>
          <w:sz w:val="28"/>
          <w:szCs w:val="22"/>
        </w:rPr>
        <w:t>-----</w:t>
      </w:r>
      <w:r>
        <w:rPr>
          <w:rFonts w:hint="eastAsia" w:cs="宋体"/>
          <w:b w:val="0"/>
          <w:bCs w:val="0"/>
          <w:color w:val="auto"/>
          <w:kern w:val="0"/>
          <w:sz w:val="28"/>
          <w:szCs w:val="22"/>
          <w:lang w:eastAsia="zh-CN"/>
        </w:rPr>
        <w:t>生活污水量（</w:t>
      </w:r>
      <w:r>
        <w:rPr>
          <w:rFonts w:hint="eastAsia" w:cs="宋体"/>
          <w:b w:val="0"/>
          <w:bCs w:val="0"/>
          <w:color w:val="auto"/>
          <w:kern w:val="0"/>
          <w:sz w:val="28"/>
          <w:szCs w:val="22"/>
          <w:lang w:val="en-US" w:eastAsia="zh-CN"/>
        </w:rPr>
        <w:t>m³</w:t>
      </w:r>
      <w:r>
        <w:rPr>
          <w:rFonts w:hint="eastAsia" w:cs="宋体"/>
          <w:b w:val="0"/>
          <w:bCs w:val="0"/>
          <w:color w:val="auto"/>
          <w:kern w:val="0"/>
          <w:sz w:val="28"/>
          <w:szCs w:val="22"/>
          <w:lang w:eastAsia="zh-CN"/>
        </w:rPr>
        <w:t>）；</w:t>
      </w:r>
    </w:p>
    <w:p>
      <w:pPr>
        <w:pageBreakBefore w:val="0"/>
        <w:kinsoku/>
        <w:wordWrap/>
        <w:overflowPunct/>
        <w:topLinePunct w:val="0"/>
        <w:bidi w:val="0"/>
        <w:spacing w:line="360" w:lineRule="auto"/>
        <w:ind w:firstLine="1410" w:firstLineChars="500"/>
        <w:rPr>
          <w:rFonts w:hint="eastAsia" w:ascii="Times New Roman" w:hAnsi="Times New Roman" w:eastAsia="宋体" w:cs="宋体"/>
          <w:b w:val="0"/>
          <w:bCs w:val="0"/>
          <w:color w:val="auto"/>
          <w:kern w:val="0"/>
          <w:sz w:val="28"/>
          <w:szCs w:val="21"/>
          <w:lang w:eastAsia="zh-CN"/>
        </w:rPr>
      </w:pPr>
      <w:r>
        <w:rPr>
          <w:rFonts w:hint="default" w:ascii="Times New Roman" w:hAnsi="Times New Roman" w:cs="宋体"/>
          <w:b w:val="0"/>
          <w:bCs w:val="0"/>
          <w:color w:val="auto"/>
          <w:kern w:val="0"/>
          <w:sz w:val="28"/>
          <w:szCs w:val="22"/>
        </w:rPr>
        <w:t>q-----</w:t>
      </w:r>
      <w:r>
        <w:rPr>
          <w:rFonts w:hint="eastAsia" w:ascii="Times New Roman" w:hAnsi="Times New Roman" w:cs="宋体"/>
          <w:b w:val="0"/>
          <w:bCs w:val="0"/>
          <w:color w:val="auto"/>
          <w:kern w:val="0"/>
          <w:sz w:val="28"/>
          <w:szCs w:val="22"/>
          <w:lang w:val="en-US" w:eastAsia="zh-CN"/>
        </w:rPr>
        <w:t xml:space="preserve"> </w:t>
      </w:r>
      <w:r>
        <w:rPr>
          <w:rFonts w:hint="eastAsia" w:cs="宋体"/>
          <w:b w:val="0"/>
          <w:bCs w:val="0"/>
          <w:color w:val="auto"/>
          <w:sz w:val="28"/>
          <w:szCs w:val="21"/>
          <w:lang w:eastAsia="zh-CN"/>
        </w:rPr>
        <w:t>生活用水量</w:t>
      </w:r>
      <w:r>
        <w:rPr>
          <w:rFonts w:hint="eastAsia" w:cs="宋体"/>
          <w:b w:val="0"/>
          <w:bCs w:val="0"/>
          <w:color w:val="auto"/>
          <w:sz w:val="28"/>
          <w:szCs w:val="21"/>
          <w:lang w:val="en-US" w:eastAsia="zh-CN"/>
        </w:rPr>
        <w:t xml:space="preserve"> </w:t>
      </w:r>
      <w:r>
        <w:rPr>
          <w:rFonts w:hint="default" w:ascii="Times New Roman" w:hAnsi="Times New Roman" w:cs="宋体"/>
          <w:b w:val="0"/>
          <w:bCs w:val="0"/>
          <w:color w:val="auto"/>
          <w:sz w:val="28"/>
          <w:szCs w:val="21"/>
        </w:rPr>
        <w:t>L/(人•d)</w:t>
      </w:r>
      <w:r>
        <w:rPr>
          <w:rFonts w:hint="eastAsia" w:cs="宋体"/>
          <w:b w:val="0"/>
          <w:bCs w:val="0"/>
          <w:color w:val="auto"/>
          <w:sz w:val="28"/>
          <w:szCs w:val="21"/>
          <w:lang w:eastAsia="zh-CN"/>
        </w:rPr>
        <w:t>；</w:t>
      </w:r>
    </w:p>
    <w:p>
      <w:pPr>
        <w:pageBreakBefore w:val="0"/>
        <w:kinsoku/>
        <w:wordWrap/>
        <w:overflowPunct/>
        <w:topLinePunct w:val="0"/>
        <w:bidi w:val="0"/>
        <w:spacing w:line="360" w:lineRule="auto"/>
        <w:ind w:firstLine="1410" w:firstLineChars="500"/>
        <w:rPr>
          <w:rFonts w:hint="eastAsia" w:ascii="Times New Roman" w:hAnsi="Times New Roman" w:eastAsia="宋体" w:cs="宋体"/>
          <w:b w:val="0"/>
          <w:bCs w:val="0"/>
          <w:color w:val="auto"/>
          <w:kern w:val="0"/>
          <w:sz w:val="28"/>
          <w:szCs w:val="21"/>
          <w:lang w:eastAsia="zh-CN"/>
        </w:rPr>
      </w:pPr>
      <w:r>
        <w:rPr>
          <w:rFonts w:hint="default" w:ascii="Times New Roman" w:hAnsi="Times New Roman" w:cs="宋体"/>
          <w:b w:val="0"/>
          <w:bCs w:val="0"/>
          <w:color w:val="auto"/>
          <w:kern w:val="0"/>
          <w:sz w:val="28"/>
          <w:szCs w:val="21"/>
          <w:lang w:val="en-US" w:eastAsia="zh-CN"/>
        </w:rPr>
        <w:t>p</w:t>
      </w:r>
      <w:r>
        <w:rPr>
          <w:rFonts w:hint="default" w:ascii="Times New Roman" w:hAnsi="Times New Roman" w:cs="宋体"/>
          <w:b w:val="0"/>
          <w:bCs w:val="0"/>
          <w:color w:val="auto"/>
          <w:kern w:val="0"/>
          <w:sz w:val="28"/>
          <w:szCs w:val="21"/>
        </w:rPr>
        <w:t>-----设计人口数（人）</w:t>
      </w:r>
      <w:r>
        <w:rPr>
          <w:rFonts w:hint="eastAsia" w:cs="宋体"/>
          <w:b w:val="0"/>
          <w:bCs w:val="0"/>
          <w:color w:val="auto"/>
          <w:kern w:val="0"/>
          <w:sz w:val="28"/>
          <w:szCs w:val="21"/>
          <w:lang w:eastAsia="zh-CN"/>
        </w:rPr>
        <w:t>；</w:t>
      </w:r>
    </w:p>
    <w:p>
      <w:pPr>
        <w:pageBreakBefore w:val="0"/>
        <w:numPr>
          <w:ilvl w:val="0"/>
          <w:numId w:val="20"/>
        </w:numPr>
        <w:kinsoku/>
        <w:wordWrap/>
        <w:overflowPunct/>
        <w:topLinePunct w:val="0"/>
        <w:bidi w:val="0"/>
        <w:spacing w:line="360" w:lineRule="auto"/>
        <w:ind w:left="564" w:leftChars="200" w:firstLine="846" w:firstLineChars="300"/>
        <w:rPr>
          <w:rFonts w:hint="default" w:ascii="Times New Roman" w:hAnsi="Times New Roman" w:cs="宋体"/>
          <w:b w:val="0"/>
          <w:bCs w:val="0"/>
          <w:color w:val="auto"/>
          <w:kern w:val="0"/>
          <w:sz w:val="28"/>
          <w:szCs w:val="21"/>
        </w:rPr>
      </w:pPr>
      <w:r>
        <w:rPr>
          <w:rFonts w:hint="default" w:ascii="Times New Roman" w:hAnsi="Times New Roman" w:cs="宋体"/>
          <w:b w:val="0"/>
          <w:bCs w:val="0"/>
          <w:color w:val="auto"/>
          <w:kern w:val="0"/>
          <w:sz w:val="28"/>
          <w:szCs w:val="21"/>
        </w:rPr>
        <w:t>----综合生活污水排放系数</w:t>
      </w:r>
      <w:r>
        <w:rPr>
          <w:rFonts w:hint="eastAsia" w:cs="宋体"/>
          <w:b w:val="0"/>
          <w:bCs w:val="0"/>
          <w:color w:val="auto"/>
          <w:kern w:val="0"/>
          <w:sz w:val="28"/>
          <w:szCs w:val="21"/>
          <w:lang w:eastAsia="zh-CN"/>
        </w:rPr>
        <w:t>，</w:t>
      </w:r>
      <w:r>
        <w:rPr>
          <w:rFonts w:hint="default" w:ascii="Times New Roman" w:hAnsi="Times New Roman" w:cs="宋体"/>
          <w:b w:val="0"/>
          <w:bCs w:val="0"/>
          <w:color w:val="auto"/>
          <w:kern w:val="0"/>
          <w:sz w:val="28"/>
          <w:szCs w:val="21"/>
        </w:rPr>
        <w:t>K取值</w:t>
      </w:r>
      <w:r>
        <w:rPr>
          <w:rFonts w:hint="eastAsia" w:ascii="Times New Roman" w:hAnsi="Times New Roman" w:cs="宋体"/>
          <w:b w:val="0"/>
          <w:bCs w:val="0"/>
          <w:color w:val="auto"/>
          <w:kern w:val="0"/>
          <w:sz w:val="28"/>
          <w:szCs w:val="21"/>
          <w:lang w:val="en-US" w:eastAsia="zh-CN"/>
        </w:rPr>
        <w:t>9</w:t>
      </w:r>
      <w:r>
        <w:rPr>
          <w:rFonts w:hint="default" w:ascii="Times New Roman" w:hAnsi="Times New Roman" w:cs="宋体"/>
          <w:b w:val="0"/>
          <w:bCs w:val="0"/>
          <w:color w:val="auto"/>
          <w:kern w:val="0"/>
          <w:sz w:val="28"/>
          <w:szCs w:val="21"/>
        </w:rPr>
        <w:t>0%</w:t>
      </w:r>
      <w:r>
        <w:rPr>
          <w:rFonts w:hint="eastAsia" w:cs="宋体"/>
          <w:b w:val="0"/>
          <w:bCs w:val="0"/>
          <w:color w:val="auto"/>
          <w:kern w:val="0"/>
          <w:sz w:val="28"/>
          <w:szCs w:val="21"/>
          <w:lang w:eastAsia="zh-CN"/>
        </w:rPr>
        <w:t>；</w:t>
      </w:r>
    </w:p>
    <w:p>
      <w:pPr>
        <w:pageBreakBefore w:val="0"/>
        <w:numPr>
          <w:ilvl w:val="0"/>
          <w:numId w:val="0"/>
        </w:numPr>
        <w:kinsoku/>
        <w:wordWrap/>
        <w:overflowPunct/>
        <w:topLinePunct w:val="0"/>
        <w:bidi w:val="0"/>
        <w:spacing w:line="360" w:lineRule="auto"/>
        <w:ind w:leftChars="500"/>
        <w:rPr>
          <w:rFonts w:hint="eastAsia"/>
          <w:color w:val="auto"/>
          <w:lang w:val="en-US" w:eastAsia="zh-CN"/>
        </w:rPr>
      </w:pPr>
      <w:r>
        <w:rPr>
          <w:rFonts w:hint="eastAsia" w:ascii="Times New Roman" w:hAnsi="Times New Roman" w:cs="宋体"/>
          <w:b w:val="0"/>
          <w:bCs w:val="0"/>
          <w:color w:val="auto"/>
          <w:kern w:val="0"/>
          <w:sz w:val="28"/>
          <w:szCs w:val="21"/>
          <w:lang w:val="en-US" w:eastAsia="zh-CN"/>
        </w:rPr>
        <w:t>地下水渗入系数取10%。</w:t>
      </w:r>
    </w:p>
    <w:p>
      <w:pPr>
        <w:pStyle w:val="41"/>
        <w:numPr>
          <w:ilvl w:val="7"/>
          <w:numId w:val="9"/>
        </w:numPr>
        <w:bidi w:val="0"/>
        <w:rPr>
          <w:rFonts w:hint="default"/>
          <w:color w:val="auto"/>
          <w:lang w:val="en-US" w:eastAsia="zh-CN"/>
        </w:rPr>
      </w:pPr>
      <w:r>
        <w:rPr>
          <w:rFonts w:hint="eastAsia"/>
          <w:color w:val="auto"/>
          <w:lang w:val="en-US" w:eastAsia="zh-CN"/>
        </w:rPr>
        <w:t>Y523片区现状生活污水量计算表</w:t>
      </w:r>
    </w:p>
    <w:tbl>
      <w:tblPr>
        <w:tblStyle w:val="31"/>
        <w:tblW w:w="5212"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1492"/>
        <w:gridCol w:w="735"/>
        <w:gridCol w:w="1196"/>
        <w:gridCol w:w="1031"/>
        <w:gridCol w:w="1045"/>
        <w:gridCol w:w="1075"/>
        <w:gridCol w:w="1099"/>
        <w:gridCol w:w="149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95" w:hRule="atLeast"/>
          <w:tblHeader/>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2"/>
                <w:szCs w:val="22"/>
                <w:u w:val="none"/>
                <w:lang w:val="en-US" w:eastAsia="zh-CN" w:bidi="ar"/>
              </w:rPr>
              <w:t>序号</w:t>
            </w:r>
          </w:p>
        </w:tc>
        <w:tc>
          <w:tcPr>
            <w:tcW w:w="14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2"/>
                <w:szCs w:val="22"/>
                <w:u w:val="none"/>
                <w:lang w:val="en-US" w:eastAsia="zh-CN" w:bidi="ar"/>
              </w:rPr>
              <w:t>名称</w:t>
            </w:r>
          </w:p>
        </w:tc>
        <w:tc>
          <w:tcPr>
            <w:tcW w:w="7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2"/>
                <w:szCs w:val="22"/>
                <w:u w:val="none"/>
                <w:lang w:val="en-US" w:eastAsia="zh-CN" w:bidi="ar"/>
              </w:rPr>
              <w:t>人数</w:t>
            </w:r>
          </w:p>
        </w:tc>
        <w:tc>
          <w:tcPr>
            <w:tcW w:w="119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综合生活</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用水定额</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2"/>
                <w:szCs w:val="22"/>
                <w:u w:val="none"/>
                <w:lang w:val="en-US" w:eastAsia="zh-CN" w:bidi="ar"/>
              </w:rPr>
              <w:t>(L/人*d)</w:t>
            </w:r>
          </w:p>
        </w:tc>
        <w:tc>
          <w:tcPr>
            <w:tcW w:w="10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2"/>
                <w:szCs w:val="22"/>
                <w:u w:val="none"/>
                <w:lang w:val="en-US" w:eastAsia="zh-CN" w:bidi="ar"/>
              </w:rPr>
              <w:t>总用水量</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综合生活污水</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2"/>
                <w:szCs w:val="22"/>
                <w:u w:val="none"/>
                <w:lang w:val="en-US" w:eastAsia="zh-CN" w:bidi="ar"/>
              </w:rPr>
              <w:t>排放系数</w:t>
            </w:r>
          </w:p>
        </w:tc>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地下水</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2"/>
                <w:szCs w:val="22"/>
                <w:u w:val="none"/>
                <w:lang w:val="en-US" w:eastAsia="zh-CN" w:bidi="ar"/>
              </w:rPr>
              <w:t>渗入系数</w:t>
            </w:r>
          </w:p>
        </w:tc>
        <w:tc>
          <w:tcPr>
            <w:tcW w:w="109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污水量</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2"/>
                <w:szCs w:val="22"/>
                <w:u w:val="none"/>
                <w:lang w:val="en-US" w:eastAsia="zh-CN" w:bidi="ar"/>
              </w:rPr>
              <w:t>（m³/d）</w:t>
            </w:r>
          </w:p>
        </w:tc>
        <w:tc>
          <w:tcPr>
            <w:tcW w:w="14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2"/>
                <w:szCs w:val="22"/>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56"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2"/>
                <w:szCs w:val="22"/>
                <w:u w:val="none"/>
                <w:lang w:val="en-US" w:eastAsia="zh-CN" w:bidi="ar"/>
              </w:rPr>
              <w:t>1</w:t>
            </w:r>
          </w:p>
        </w:tc>
        <w:tc>
          <w:tcPr>
            <w:tcW w:w="14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1"/>
                <w:szCs w:val="21"/>
                <w:u w:val="none"/>
                <w:lang w:eastAsia="zh-CN"/>
              </w:rPr>
            </w:pPr>
            <w:r>
              <w:rPr>
                <w:rFonts w:hint="eastAsia" w:ascii="宋体" w:hAnsi="宋体" w:cs="宋体"/>
                <w:i w:val="0"/>
                <w:iCs w:val="0"/>
                <w:color w:val="auto"/>
                <w:kern w:val="0"/>
                <w:sz w:val="22"/>
                <w:szCs w:val="22"/>
                <w:u w:val="none"/>
                <w:lang w:val="en-US" w:eastAsia="zh-CN" w:bidi="ar"/>
              </w:rPr>
              <w:t>罗洞</w:t>
            </w:r>
            <w:r>
              <w:rPr>
                <w:rFonts w:hint="eastAsia" w:ascii="宋体" w:hAnsi="宋体" w:eastAsia="宋体" w:cs="宋体"/>
                <w:i w:val="0"/>
                <w:iCs w:val="0"/>
                <w:color w:val="auto"/>
                <w:kern w:val="0"/>
                <w:sz w:val="22"/>
                <w:szCs w:val="22"/>
                <w:u w:val="none"/>
                <w:lang w:val="en-US" w:eastAsia="zh-CN" w:bidi="ar"/>
              </w:rPr>
              <w:t>村</w:t>
            </w:r>
          </w:p>
        </w:tc>
        <w:tc>
          <w:tcPr>
            <w:tcW w:w="7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1"/>
                <w:szCs w:val="21"/>
                <w:u w:val="none"/>
                <w:lang w:val="en-US" w:eastAsia="zh-CN"/>
              </w:rPr>
            </w:pPr>
            <w:r>
              <w:rPr>
                <w:rFonts w:hint="eastAsia" w:ascii="宋体" w:hAnsi="宋体" w:eastAsia="宋体" w:cs="宋体"/>
                <w:i w:val="0"/>
                <w:iCs w:val="0"/>
                <w:color w:val="auto"/>
                <w:kern w:val="0"/>
                <w:sz w:val="22"/>
                <w:szCs w:val="22"/>
                <w:u w:val="none"/>
                <w:lang w:val="en-US" w:eastAsia="zh-CN" w:bidi="ar"/>
              </w:rPr>
              <w:t>2912</w:t>
            </w:r>
          </w:p>
        </w:tc>
        <w:tc>
          <w:tcPr>
            <w:tcW w:w="11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1"/>
                <w:szCs w:val="21"/>
                <w:u w:val="none"/>
                <w:lang w:val="en-US" w:eastAsia="zh-CN"/>
              </w:rPr>
            </w:pPr>
            <w:r>
              <w:rPr>
                <w:rFonts w:hint="eastAsia" w:ascii="宋体" w:hAnsi="宋体" w:eastAsia="宋体" w:cs="宋体"/>
                <w:i w:val="0"/>
                <w:iCs w:val="0"/>
                <w:color w:val="auto"/>
                <w:kern w:val="0"/>
                <w:sz w:val="22"/>
                <w:szCs w:val="22"/>
                <w:u w:val="none"/>
                <w:lang w:val="en-US" w:eastAsia="zh-CN" w:bidi="ar"/>
              </w:rPr>
              <w:t>150</w:t>
            </w:r>
          </w:p>
        </w:tc>
        <w:tc>
          <w:tcPr>
            <w:tcW w:w="10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1"/>
                <w:szCs w:val="21"/>
                <w:u w:val="none"/>
                <w:lang w:val="en-US" w:eastAsia="zh-CN"/>
              </w:rPr>
            </w:pPr>
            <w:r>
              <w:rPr>
                <w:rFonts w:hint="eastAsia" w:ascii="宋体" w:hAnsi="宋体" w:eastAsia="宋体" w:cs="宋体"/>
                <w:i w:val="0"/>
                <w:iCs w:val="0"/>
                <w:color w:val="auto"/>
                <w:kern w:val="0"/>
                <w:sz w:val="22"/>
                <w:szCs w:val="22"/>
                <w:u w:val="none"/>
                <w:lang w:val="en-US" w:eastAsia="zh-CN" w:bidi="ar"/>
              </w:rPr>
              <w:t>436.8</w:t>
            </w:r>
          </w:p>
        </w:tc>
        <w:tc>
          <w:tcPr>
            <w:tcW w:w="10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2"/>
                <w:szCs w:val="22"/>
                <w:u w:val="none"/>
                <w:lang w:val="en-US" w:eastAsia="zh-CN" w:bidi="ar"/>
              </w:rPr>
              <w:t>90%</w:t>
            </w:r>
          </w:p>
        </w:tc>
        <w:tc>
          <w:tcPr>
            <w:tcW w:w="1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2"/>
                <w:szCs w:val="22"/>
                <w:u w:val="none"/>
                <w:lang w:val="en-US" w:eastAsia="zh-CN" w:bidi="ar"/>
              </w:rPr>
              <w:t>10%</w:t>
            </w:r>
          </w:p>
        </w:tc>
        <w:tc>
          <w:tcPr>
            <w:tcW w:w="10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1"/>
                <w:szCs w:val="21"/>
                <w:u w:val="none"/>
                <w:lang w:val="en-US" w:eastAsia="zh-CN"/>
              </w:rPr>
            </w:pPr>
            <w:r>
              <w:rPr>
                <w:rFonts w:hint="eastAsia" w:ascii="宋体" w:hAnsi="宋体" w:eastAsia="宋体" w:cs="宋体"/>
                <w:i w:val="0"/>
                <w:iCs w:val="0"/>
                <w:color w:val="auto"/>
                <w:kern w:val="0"/>
                <w:sz w:val="22"/>
                <w:szCs w:val="22"/>
                <w:u w:val="none"/>
                <w:lang w:val="en-US" w:eastAsia="zh-CN" w:bidi="ar"/>
              </w:rPr>
              <w:t>432.43</w:t>
            </w:r>
          </w:p>
        </w:tc>
        <w:tc>
          <w:tcPr>
            <w:tcW w:w="149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2"/>
                <w:szCs w:val="22"/>
                <w:u w:val="none"/>
                <w:lang w:val="en-US" w:eastAsia="zh-CN" w:bidi="ar"/>
              </w:rPr>
              <w:t>仅统计本项目纳污范围；含纳污范围内商铺外来人口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95"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2"/>
                <w:szCs w:val="22"/>
                <w:u w:val="none"/>
                <w:lang w:val="en-US" w:eastAsia="zh-CN" w:bidi="ar"/>
              </w:rPr>
              <w:t>2</w:t>
            </w:r>
          </w:p>
        </w:tc>
        <w:tc>
          <w:tcPr>
            <w:tcW w:w="14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1"/>
                <w:szCs w:val="21"/>
                <w:u w:val="none"/>
                <w:lang w:val="en-US" w:eastAsia="zh-CN"/>
              </w:rPr>
            </w:pPr>
            <w:r>
              <w:rPr>
                <w:rFonts w:hint="eastAsia" w:ascii="宋体" w:hAnsi="宋体" w:eastAsia="宋体" w:cs="宋体"/>
                <w:i w:val="0"/>
                <w:iCs w:val="0"/>
                <w:color w:val="auto"/>
                <w:kern w:val="0"/>
                <w:sz w:val="22"/>
                <w:szCs w:val="22"/>
                <w:u w:val="none"/>
                <w:lang w:val="en-US" w:eastAsia="zh-CN" w:bidi="ar"/>
              </w:rPr>
              <w:t>从化区福利院、救助站及敬老院</w:t>
            </w:r>
          </w:p>
        </w:tc>
        <w:tc>
          <w:tcPr>
            <w:tcW w:w="7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1"/>
                <w:szCs w:val="21"/>
                <w:u w:val="none"/>
                <w:lang w:val="en-US" w:eastAsia="zh-CN"/>
              </w:rPr>
            </w:pPr>
            <w:r>
              <w:rPr>
                <w:rFonts w:hint="eastAsia" w:ascii="宋体" w:hAnsi="宋体" w:eastAsia="宋体" w:cs="宋体"/>
                <w:i w:val="0"/>
                <w:iCs w:val="0"/>
                <w:color w:val="auto"/>
                <w:kern w:val="0"/>
                <w:sz w:val="22"/>
                <w:szCs w:val="22"/>
                <w:u w:val="none"/>
                <w:lang w:val="en-US" w:eastAsia="zh-CN" w:bidi="ar"/>
              </w:rPr>
              <w:t>400</w:t>
            </w:r>
          </w:p>
        </w:tc>
        <w:tc>
          <w:tcPr>
            <w:tcW w:w="11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1"/>
                <w:szCs w:val="21"/>
                <w:u w:val="none"/>
                <w:lang w:val="en-US" w:eastAsia="zh-CN"/>
              </w:rPr>
            </w:pPr>
            <w:r>
              <w:rPr>
                <w:rFonts w:hint="eastAsia" w:ascii="宋体" w:hAnsi="宋体" w:eastAsia="宋体" w:cs="宋体"/>
                <w:i w:val="0"/>
                <w:iCs w:val="0"/>
                <w:color w:val="auto"/>
                <w:kern w:val="0"/>
                <w:sz w:val="22"/>
                <w:szCs w:val="22"/>
                <w:u w:val="none"/>
                <w:lang w:val="en-US" w:eastAsia="zh-CN" w:bidi="ar"/>
              </w:rPr>
              <w:t>150</w:t>
            </w:r>
          </w:p>
        </w:tc>
        <w:tc>
          <w:tcPr>
            <w:tcW w:w="10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1"/>
                <w:szCs w:val="21"/>
                <w:u w:val="none"/>
                <w:lang w:val="en-US" w:eastAsia="zh-CN"/>
              </w:rPr>
            </w:pPr>
            <w:r>
              <w:rPr>
                <w:rFonts w:hint="eastAsia" w:ascii="宋体" w:hAnsi="宋体" w:eastAsia="宋体" w:cs="宋体"/>
                <w:i w:val="0"/>
                <w:iCs w:val="0"/>
                <w:color w:val="auto"/>
                <w:kern w:val="0"/>
                <w:sz w:val="22"/>
                <w:szCs w:val="22"/>
                <w:u w:val="none"/>
                <w:lang w:val="en-US" w:eastAsia="zh-CN" w:bidi="ar"/>
              </w:rPr>
              <w:t>60</w:t>
            </w:r>
          </w:p>
        </w:tc>
        <w:tc>
          <w:tcPr>
            <w:tcW w:w="10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2"/>
                <w:sz w:val="21"/>
                <w:szCs w:val="21"/>
                <w:u w:val="none"/>
                <w:lang w:val="en-US" w:eastAsia="zh-CN" w:bidi="ar-SA"/>
              </w:rPr>
            </w:pPr>
            <w:r>
              <w:rPr>
                <w:rFonts w:hint="eastAsia" w:ascii="宋体" w:hAnsi="宋体" w:eastAsia="宋体" w:cs="宋体"/>
                <w:i w:val="0"/>
                <w:iCs w:val="0"/>
                <w:color w:val="auto"/>
                <w:kern w:val="0"/>
                <w:sz w:val="22"/>
                <w:szCs w:val="22"/>
                <w:u w:val="none"/>
                <w:lang w:val="en-US" w:eastAsia="zh-CN" w:bidi="ar"/>
              </w:rPr>
              <w:t>90%</w:t>
            </w:r>
          </w:p>
        </w:tc>
        <w:tc>
          <w:tcPr>
            <w:tcW w:w="1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2"/>
                <w:sz w:val="21"/>
                <w:szCs w:val="21"/>
                <w:u w:val="none"/>
                <w:lang w:val="en-US" w:eastAsia="zh-CN" w:bidi="ar-SA"/>
              </w:rPr>
            </w:pPr>
            <w:r>
              <w:rPr>
                <w:rFonts w:hint="eastAsia" w:ascii="宋体" w:hAnsi="宋体" w:eastAsia="宋体" w:cs="宋体"/>
                <w:i w:val="0"/>
                <w:iCs w:val="0"/>
                <w:color w:val="auto"/>
                <w:kern w:val="0"/>
                <w:sz w:val="22"/>
                <w:szCs w:val="22"/>
                <w:u w:val="none"/>
                <w:lang w:val="en-US" w:eastAsia="zh-CN" w:bidi="ar"/>
              </w:rPr>
              <w:t>10%</w:t>
            </w:r>
          </w:p>
        </w:tc>
        <w:tc>
          <w:tcPr>
            <w:tcW w:w="10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1"/>
                <w:szCs w:val="21"/>
                <w:u w:val="none"/>
                <w:lang w:val="en-US" w:eastAsia="zh-CN"/>
              </w:rPr>
            </w:pPr>
            <w:r>
              <w:rPr>
                <w:rFonts w:hint="eastAsia" w:ascii="宋体" w:hAnsi="宋体" w:eastAsia="宋体" w:cs="宋体"/>
                <w:i w:val="0"/>
                <w:iCs w:val="0"/>
                <w:color w:val="auto"/>
                <w:kern w:val="0"/>
                <w:sz w:val="22"/>
                <w:szCs w:val="22"/>
                <w:u w:val="none"/>
                <w:lang w:val="en-US" w:eastAsia="zh-CN" w:bidi="ar"/>
              </w:rPr>
              <w:t>59.4</w:t>
            </w:r>
          </w:p>
        </w:tc>
        <w:tc>
          <w:tcPr>
            <w:tcW w:w="14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auto"/>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1"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2"/>
                <w:szCs w:val="22"/>
                <w:u w:val="none"/>
                <w:lang w:val="en-US" w:eastAsia="zh-CN" w:bidi="ar"/>
              </w:rPr>
              <w:t>3</w:t>
            </w:r>
          </w:p>
        </w:tc>
        <w:tc>
          <w:tcPr>
            <w:tcW w:w="14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2"/>
                <w:sz w:val="21"/>
                <w:szCs w:val="21"/>
                <w:u w:val="none"/>
                <w:lang w:val="en-US" w:eastAsia="zh-CN" w:bidi="ar-SA"/>
              </w:rPr>
            </w:pPr>
            <w:r>
              <w:rPr>
                <w:rFonts w:hint="eastAsia" w:ascii="宋体" w:hAnsi="宋体" w:cs="宋体"/>
                <w:i w:val="0"/>
                <w:iCs w:val="0"/>
                <w:color w:val="auto"/>
                <w:kern w:val="0"/>
                <w:sz w:val="22"/>
                <w:szCs w:val="22"/>
                <w:u w:val="none"/>
                <w:lang w:val="en-US" w:eastAsia="zh-CN" w:bidi="ar"/>
              </w:rPr>
              <w:t>罗洞</w:t>
            </w:r>
            <w:r>
              <w:rPr>
                <w:rFonts w:hint="eastAsia" w:ascii="宋体" w:hAnsi="宋体" w:eastAsia="宋体" w:cs="宋体"/>
                <w:i w:val="0"/>
                <w:iCs w:val="0"/>
                <w:color w:val="auto"/>
                <w:kern w:val="0"/>
                <w:sz w:val="22"/>
                <w:szCs w:val="22"/>
                <w:u w:val="none"/>
                <w:lang w:val="en-US" w:eastAsia="zh-CN" w:bidi="ar"/>
              </w:rPr>
              <w:t>小学</w:t>
            </w:r>
          </w:p>
        </w:tc>
        <w:tc>
          <w:tcPr>
            <w:tcW w:w="7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kern w:val="2"/>
                <w:sz w:val="21"/>
                <w:szCs w:val="21"/>
                <w:u w:val="none"/>
                <w:lang w:val="en-US" w:eastAsia="zh-CN" w:bidi="ar-SA"/>
              </w:rPr>
            </w:pPr>
            <w:r>
              <w:rPr>
                <w:rFonts w:hint="eastAsia" w:ascii="宋体" w:hAnsi="宋体" w:eastAsia="宋体" w:cs="宋体"/>
                <w:i w:val="0"/>
                <w:iCs w:val="0"/>
                <w:color w:val="auto"/>
                <w:kern w:val="0"/>
                <w:sz w:val="22"/>
                <w:szCs w:val="22"/>
                <w:u w:val="none"/>
                <w:lang w:val="en-US" w:eastAsia="zh-CN" w:bidi="ar"/>
              </w:rPr>
              <w:t>600</w:t>
            </w:r>
          </w:p>
        </w:tc>
        <w:tc>
          <w:tcPr>
            <w:tcW w:w="11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kern w:val="2"/>
                <w:sz w:val="21"/>
                <w:szCs w:val="21"/>
                <w:u w:val="none"/>
                <w:lang w:val="en-US" w:eastAsia="zh-CN" w:bidi="ar-SA"/>
              </w:rPr>
            </w:pPr>
            <w:r>
              <w:rPr>
                <w:rFonts w:hint="eastAsia" w:ascii="宋体" w:hAnsi="宋体" w:eastAsia="宋体" w:cs="宋体"/>
                <w:i w:val="0"/>
                <w:iCs w:val="0"/>
                <w:color w:val="auto"/>
                <w:kern w:val="0"/>
                <w:sz w:val="22"/>
                <w:szCs w:val="22"/>
                <w:u w:val="none"/>
                <w:lang w:val="en-US" w:eastAsia="zh-CN" w:bidi="ar"/>
              </w:rPr>
              <w:t>40</w:t>
            </w:r>
          </w:p>
        </w:tc>
        <w:tc>
          <w:tcPr>
            <w:tcW w:w="10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kern w:val="2"/>
                <w:sz w:val="21"/>
                <w:szCs w:val="21"/>
                <w:u w:val="none"/>
                <w:lang w:val="en-US" w:eastAsia="zh-CN" w:bidi="ar-SA"/>
              </w:rPr>
            </w:pPr>
            <w:r>
              <w:rPr>
                <w:rFonts w:hint="eastAsia" w:ascii="宋体" w:hAnsi="宋体" w:eastAsia="宋体" w:cs="宋体"/>
                <w:i w:val="0"/>
                <w:iCs w:val="0"/>
                <w:color w:val="auto"/>
                <w:kern w:val="0"/>
                <w:sz w:val="22"/>
                <w:szCs w:val="22"/>
                <w:u w:val="none"/>
                <w:lang w:val="en-US" w:eastAsia="zh-CN" w:bidi="ar"/>
              </w:rPr>
              <w:t>24</w:t>
            </w:r>
          </w:p>
        </w:tc>
        <w:tc>
          <w:tcPr>
            <w:tcW w:w="10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2"/>
                <w:sz w:val="21"/>
                <w:szCs w:val="21"/>
                <w:u w:val="none"/>
                <w:lang w:val="en-US" w:eastAsia="zh-CN" w:bidi="ar-SA"/>
              </w:rPr>
            </w:pPr>
            <w:r>
              <w:rPr>
                <w:rFonts w:hint="eastAsia" w:ascii="宋体" w:hAnsi="宋体" w:eastAsia="宋体" w:cs="宋体"/>
                <w:i w:val="0"/>
                <w:iCs w:val="0"/>
                <w:color w:val="auto"/>
                <w:kern w:val="0"/>
                <w:sz w:val="22"/>
                <w:szCs w:val="22"/>
                <w:u w:val="none"/>
                <w:lang w:val="en-US" w:eastAsia="zh-CN" w:bidi="ar"/>
              </w:rPr>
              <w:t>90%</w:t>
            </w:r>
          </w:p>
        </w:tc>
        <w:tc>
          <w:tcPr>
            <w:tcW w:w="1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2"/>
                <w:sz w:val="21"/>
                <w:szCs w:val="21"/>
                <w:u w:val="none"/>
                <w:lang w:val="en-US" w:eastAsia="zh-CN" w:bidi="ar-SA"/>
              </w:rPr>
            </w:pPr>
            <w:r>
              <w:rPr>
                <w:rFonts w:hint="eastAsia" w:ascii="宋体" w:hAnsi="宋体" w:eastAsia="宋体" w:cs="宋体"/>
                <w:i w:val="0"/>
                <w:iCs w:val="0"/>
                <w:color w:val="auto"/>
                <w:kern w:val="0"/>
                <w:sz w:val="22"/>
                <w:szCs w:val="22"/>
                <w:u w:val="none"/>
                <w:lang w:val="en-US" w:eastAsia="zh-CN" w:bidi="ar"/>
              </w:rPr>
              <w:t>10%</w:t>
            </w:r>
          </w:p>
        </w:tc>
        <w:tc>
          <w:tcPr>
            <w:tcW w:w="10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kern w:val="2"/>
                <w:sz w:val="21"/>
                <w:szCs w:val="21"/>
                <w:u w:val="none"/>
                <w:lang w:val="en-US" w:eastAsia="zh-CN" w:bidi="ar-SA"/>
              </w:rPr>
            </w:pPr>
            <w:r>
              <w:rPr>
                <w:rFonts w:hint="eastAsia" w:ascii="宋体" w:hAnsi="宋体" w:eastAsia="宋体" w:cs="宋体"/>
                <w:i w:val="0"/>
                <w:iCs w:val="0"/>
                <w:color w:val="auto"/>
                <w:kern w:val="0"/>
                <w:sz w:val="22"/>
                <w:szCs w:val="22"/>
                <w:u w:val="none"/>
                <w:lang w:val="en-US" w:eastAsia="zh-CN" w:bidi="ar"/>
              </w:rPr>
              <w:t>23.76</w:t>
            </w:r>
          </w:p>
        </w:tc>
        <w:tc>
          <w:tcPr>
            <w:tcW w:w="14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2"/>
                <w:szCs w:val="22"/>
                <w:u w:val="none"/>
                <w:lang w:val="en-US" w:eastAsia="zh-CN" w:bidi="ar"/>
              </w:rPr>
              <w:t>走读式学校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95"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2"/>
                <w:szCs w:val="22"/>
                <w:u w:val="none"/>
                <w:lang w:val="en-US" w:eastAsia="zh-CN" w:bidi="ar"/>
              </w:rPr>
              <w:t>4</w:t>
            </w:r>
          </w:p>
        </w:tc>
        <w:tc>
          <w:tcPr>
            <w:tcW w:w="14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2"/>
                <w:sz w:val="21"/>
                <w:szCs w:val="21"/>
                <w:u w:val="none"/>
                <w:lang w:val="en-US" w:eastAsia="zh-CN" w:bidi="ar-SA"/>
              </w:rPr>
            </w:pPr>
            <w:r>
              <w:rPr>
                <w:rFonts w:hint="eastAsia" w:ascii="宋体" w:hAnsi="宋体" w:eastAsia="宋体" w:cs="宋体"/>
                <w:i w:val="0"/>
                <w:iCs w:val="0"/>
                <w:color w:val="auto"/>
                <w:kern w:val="0"/>
                <w:sz w:val="22"/>
                <w:szCs w:val="22"/>
                <w:u w:val="none"/>
                <w:lang w:val="en-US" w:eastAsia="zh-CN" w:bidi="ar"/>
              </w:rPr>
              <w:t>从化区公路管理中心 附城养护站</w:t>
            </w:r>
          </w:p>
        </w:tc>
        <w:tc>
          <w:tcPr>
            <w:tcW w:w="7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kern w:val="2"/>
                <w:sz w:val="21"/>
                <w:szCs w:val="21"/>
                <w:u w:val="none"/>
                <w:lang w:val="en-US" w:eastAsia="zh-CN" w:bidi="ar-SA"/>
              </w:rPr>
            </w:pPr>
            <w:r>
              <w:rPr>
                <w:rFonts w:hint="eastAsia" w:ascii="宋体" w:hAnsi="宋体" w:eastAsia="宋体" w:cs="宋体"/>
                <w:i w:val="0"/>
                <w:iCs w:val="0"/>
                <w:color w:val="auto"/>
                <w:kern w:val="0"/>
                <w:sz w:val="22"/>
                <w:szCs w:val="22"/>
                <w:u w:val="none"/>
                <w:lang w:val="en-US" w:eastAsia="zh-CN" w:bidi="ar"/>
              </w:rPr>
              <w:t>30</w:t>
            </w:r>
          </w:p>
        </w:tc>
        <w:tc>
          <w:tcPr>
            <w:tcW w:w="11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kern w:val="2"/>
                <w:sz w:val="21"/>
                <w:szCs w:val="21"/>
                <w:u w:val="none"/>
                <w:lang w:val="en-US" w:eastAsia="zh-CN" w:bidi="ar-SA"/>
              </w:rPr>
            </w:pPr>
            <w:r>
              <w:rPr>
                <w:rFonts w:hint="eastAsia" w:ascii="宋体" w:hAnsi="宋体" w:eastAsia="宋体" w:cs="宋体"/>
                <w:i w:val="0"/>
                <w:iCs w:val="0"/>
                <w:color w:val="auto"/>
                <w:kern w:val="0"/>
                <w:sz w:val="22"/>
                <w:szCs w:val="22"/>
                <w:u w:val="none"/>
                <w:lang w:val="en-US" w:eastAsia="zh-CN" w:bidi="ar"/>
              </w:rPr>
              <w:t>150</w:t>
            </w:r>
          </w:p>
        </w:tc>
        <w:tc>
          <w:tcPr>
            <w:tcW w:w="10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kern w:val="2"/>
                <w:sz w:val="21"/>
                <w:szCs w:val="21"/>
                <w:u w:val="none"/>
                <w:lang w:val="en-US" w:eastAsia="zh-CN" w:bidi="ar-SA"/>
              </w:rPr>
            </w:pPr>
            <w:r>
              <w:rPr>
                <w:rFonts w:hint="eastAsia" w:ascii="宋体" w:hAnsi="宋体" w:eastAsia="宋体" w:cs="宋体"/>
                <w:i w:val="0"/>
                <w:iCs w:val="0"/>
                <w:color w:val="auto"/>
                <w:kern w:val="0"/>
                <w:sz w:val="22"/>
                <w:szCs w:val="22"/>
                <w:u w:val="none"/>
                <w:lang w:val="en-US" w:eastAsia="zh-CN" w:bidi="ar"/>
              </w:rPr>
              <w:t>4.5</w:t>
            </w:r>
          </w:p>
        </w:tc>
        <w:tc>
          <w:tcPr>
            <w:tcW w:w="10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2"/>
                <w:sz w:val="21"/>
                <w:szCs w:val="21"/>
                <w:u w:val="none"/>
                <w:lang w:val="en-US" w:eastAsia="zh-CN" w:bidi="ar-SA"/>
              </w:rPr>
            </w:pPr>
            <w:r>
              <w:rPr>
                <w:rFonts w:hint="eastAsia" w:ascii="宋体" w:hAnsi="宋体" w:eastAsia="宋体" w:cs="宋体"/>
                <w:i w:val="0"/>
                <w:iCs w:val="0"/>
                <w:color w:val="auto"/>
                <w:kern w:val="0"/>
                <w:sz w:val="22"/>
                <w:szCs w:val="22"/>
                <w:u w:val="none"/>
                <w:lang w:val="en-US" w:eastAsia="zh-CN" w:bidi="ar"/>
              </w:rPr>
              <w:t>90%</w:t>
            </w:r>
          </w:p>
        </w:tc>
        <w:tc>
          <w:tcPr>
            <w:tcW w:w="1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2"/>
                <w:sz w:val="21"/>
                <w:szCs w:val="21"/>
                <w:u w:val="none"/>
                <w:lang w:val="en-US" w:eastAsia="zh-CN" w:bidi="ar-SA"/>
              </w:rPr>
            </w:pPr>
            <w:r>
              <w:rPr>
                <w:rFonts w:hint="eastAsia" w:ascii="宋体" w:hAnsi="宋体" w:eastAsia="宋体" w:cs="宋体"/>
                <w:i w:val="0"/>
                <w:iCs w:val="0"/>
                <w:color w:val="auto"/>
                <w:kern w:val="0"/>
                <w:sz w:val="22"/>
                <w:szCs w:val="22"/>
                <w:u w:val="none"/>
                <w:lang w:val="en-US" w:eastAsia="zh-CN" w:bidi="ar"/>
              </w:rPr>
              <w:t>10%</w:t>
            </w:r>
          </w:p>
        </w:tc>
        <w:tc>
          <w:tcPr>
            <w:tcW w:w="10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kern w:val="2"/>
                <w:sz w:val="21"/>
                <w:szCs w:val="21"/>
                <w:u w:val="none"/>
                <w:lang w:val="en-US" w:eastAsia="zh-CN" w:bidi="ar-SA"/>
              </w:rPr>
            </w:pPr>
            <w:r>
              <w:rPr>
                <w:rFonts w:hint="eastAsia" w:ascii="宋体" w:hAnsi="宋体" w:eastAsia="宋体" w:cs="宋体"/>
                <w:i w:val="0"/>
                <w:iCs w:val="0"/>
                <w:color w:val="auto"/>
                <w:kern w:val="0"/>
                <w:sz w:val="22"/>
                <w:szCs w:val="22"/>
                <w:u w:val="none"/>
                <w:lang w:val="en-US" w:eastAsia="zh-CN" w:bidi="ar"/>
              </w:rPr>
              <w:t>4.455</w:t>
            </w:r>
          </w:p>
        </w:tc>
        <w:tc>
          <w:tcPr>
            <w:tcW w:w="14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auto"/>
                <w:kern w:val="0"/>
                <w:sz w:val="21"/>
                <w:szCs w:val="21"/>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1"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1"/>
                <w:szCs w:val="21"/>
                <w:u w:val="none"/>
                <w:lang w:val="en-US" w:eastAsia="zh-CN"/>
              </w:rPr>
            </w:pPr>
            <w:r>
              <w:rPr>
                <w:rFonts w:hint="eastAsia" w:ascii="宋体" w:hAnsi="宋体" w:eastAsia="宋体" w:cs="宋体"/>
                <w:i w:val="0"/>
                <w:iCs w:val="0"/>
                <w:color w:val="auto"/>
                <w:kern w:val="0"/>
                <w:sz w:val="22"/>
                <w:szCs w:val="22"/>
                <w:u w:val="none"/>
                <w:lang w:val="en-US" w:eastAsia="zh-CN" w:bidi="ar"/>
              </w:rPr>
              <w:t>5</w:t>
            </w:r>
          </w:p>
        </w:tc>
        <w:tc>
          <w:tcPr>
            <w:tcW w:w="6574"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2"/>
                <w:szCs w:val="22"/>
                <w:u w:val="none"/>
                <w:lang w:val="en-US" w:eastAsia="zh-CN" w:bidi="ar"/>
              </w:rPr>
              <w:t>生活污水量总计</w:t>
            </w:r>
          </w:p>
        </w:tc>
        <w:tc>
          <w:tcPr>
            <w:tcW w:w="10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1"/>
                <w:szCs w:val="21"/>
                <w:u w:val="none"/>
                <w:lang w:val="en-US" w:eastAsia="zh-CN"/>
              </w:rPr>
            </w:pPr>
            <w:r>
              <w:rPr>
                <w:rFonts w:hint="eastAsia" w:ascii="宋体" w:hAnsi="宋体" w:eastAsia="宋体" w:cs="宋体"/>
                <w:i w:val="0"/>
                <w:iCs w:val="0"/>
                <w:color w:val="auto"/>
                <w:kern w:val="0"/>
                <w:sz w:val="22"/>
                <w:szCs w:val="22"/>
                <w:u w:val="none"/>
                <w:lang w:val="en-US" w:eastAsia="zh-CN" w:bidi="ar"/>
              </w:rPr>
              <w:t>515.59</w:t>
            </w:r>
          </w:p>
        </w:tc>
        <w:tc>
          <w:tcPr>
            <w:tcW w:w="14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auto"/>
                <w:sz w:val="21"/>
                <w:szCs w:val="21"/>
                <w:u w:val="none"/>
              </w:rPr>
            </w:pPr>
          </w:p>
        </w:tc>
      </w:tr>
    </w:tbl>
    <w:p>
      <w:pPr>
        <w:pStyle w:val="41"/>
        <w:numPr>
          <w:ilvl w:val="7"/>
          <w:numId w:val="0"/>
        </w:numPr>
        <w:bidi w:val="0"/>
        <w:ind w:leftChars="0"/>
        <w:jc w:val="both"/>
        <w:rPr>
          <w:rFonts w:hint="eastAsia"/>
          <w:color w:val="auto"/>
          <w:lang w:val="en-US" w:eastAsia="zh-CN"/>
        </w:rPr>
      </w:pPr>
    </w:p>
    <w:p>
      <w:pPr>
        <w:pStyle w:val="15"/>
        <w:ind w:firstLine="565"/>
        <w:jc w:val="left"/>
        <w:rPr>
          <w:rFonts w:hint="eastAsia" w:cs="宋体" w:asciiTheme="minorEastAsia" w:hAnsiTheme="minorEastAsia" w:eastAsiaTheme="minorEastAsia"/>
          <w:color w:val="auto"/>
          <w:sz w:val="28"/>
          <w:szCs w:val="22"/>
          <w:lang w:eastAsia="zh-CN"/>
        </w:rPr>
      </w:pPr>
      <w:r>
        <w:rPr>
          <w:rFonts w:hint="eastAsia" w:asciiTheme="minorEastAsia" w:hAnsiTheme="minorEastAsia" w:eastAsiaTheme="minorEastAsia"/>
          <w:color w:val="auto"/>
          <w:sz w:val="28"/>
          <w:szCs w:val="28"/>
          <w:lang w:val="en-US" w:eastAsia="zh-CN"/>
        </w:rPr>
        <w:t>沿线工业企业有壹帆交通设施有限公司、家富食品有限公司等共7家工业企业，此部分工业企业均不属于耗水量大的企业，故本次设计按照</w:t>
      </w:r>
      <w:r>
        <w:rPr>
          <w:rFonts w:hint="default" w:cs="宋体"/>
          <w:color w:val="auto"/>
          <w:sz w:val="28"/>
          <w:szCs w:val="21"/>
          <w:lang w:val="en-US" w:eastAsia="zh-CN"/>
        </w:rPr>
        <w:t>《城市给水工程规划规范》</w:t>
      </w:r>
      <w:r>
        <w:rPr>
          <w:rFonts w:hint="eastAsia" w:cs="宋体"/>
          <w:color w:val="auto"/>
          <w:sz w:val="28"/>
          <w:szCs w:val="21"/>
          <w:lang w:val="en-US" w:eastAsia="zh-CN"/>
        </w:rPr>
        <w:t>中工业用地性质，近期用水量指标取60m³/（hm</w:t>
      </w:r>
      <w:r>
        <w:rPr>
          <w:rFonts w:hint="eastAsia" w:cs="宋体"/>
          <w:color w:val="auto"/>
          <w:sz w:val="28"/>
          <w:szCs w:val="21"/>
          <w:vertAlign w:val="superscript"/>
          <w:lang w:val="en-US" w:eastAsia="zh-CN"/>
        </w:rPr>
        <w:t>2</w:t>
      </w:r>
      <w:r>
        <w:rPr>
          <w:rFonts w:hint="eastAsia" w:cs="宋体"/>
          <w:color w:val="auto"/>
          <w:sz w:val="28"/>
          <w:szCs w:val="21"/>
          <w:lang w:val="en-US" w:eastAsia="zh-CN"/>
        </w:rPr>
        <w:t>*d），远期污水量取80m³/（hm</w:t>
      </w:r>
      <w:r>
        <w:rPr>
          <w:rFonts w:hint="eastAsia" w:cs="宋体"/>
          <w:color w:val="auto"/>
          <w:sz w:val="28"/>
          <w:szCs w:val="21"/>
          <w:vertAlign w:val="superscript"/>
          <w:lang w:val="en-US" w:eastAsia="zh-CN"/>
        </w:rPr>
        <w:t>2</w:t>
      </w:r>
      <w:r>
        <w:rPr>
          <w:rFonts w:hint="eastAsia" w:cs="宋体"/>
          <w:color w:val="auto"/>
          <w:sz w:val="28"/>
          <w:szCs w:val="21"/>
          <w:lang w:val="en-US" w:eastAsia="zh-CN"/>
        </w:rPr>
        <w:t>*d）</w:t>
      </w:r>
      <w:r>
        <w:rPr>
          <w:rFonts w:hint="eastAsia" w:asciiTheme="minorEastAsia" w:hAnsiTheme="minorEastAsia" w:eastAsiaTheme="minorEastAsia"/>
          <w:color w:val="auto"/>
          <w:sz w:val="28"/>
          <w:szCs w:val="28"/>
          <w:lang w:val="en-US" w:eastAsia="zh-CN"/>
        </w:rPr>
        <w:t>。</w:t>
      </w:r>
    </w:p>
    <w:p>
      <w:pPr>
        <w:pStyle w:val="41"/>
        <w:numPr>
          <w:ilvl w:val="7"/>
          <w:numId w:val="9"/>
        </w:numPr>
        <w:bidi w:val="0"/>
        <w:rPr>
          <w:rFonts w:hint="eastAsia"/>
          <w:color w:val="auto"/>
          <w:lang w:val="en-US" w:eastAsia="zh-CN"/>
        </w:rPr>
      </w:pPr>
      <w:r>
        <w:rPr>
          <w:rFonts w:hint="eastAsia"/>
          <w:color w:val="auto"/>
          <w:lang w:val="en-US" w:eastAsia="zh-CN"/>
        </w:rPr>
        <w:t>Y523片区现状生产废水量统计</w:t>
      </w:r>
    </w:p>
    <w:tbl>
      <w:tblPr>
        <w:tblStyle w:val="31"/>
        <w:tblW w:w="997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78"/>
        <w:gridCol w:w="2197"/>
        <w:gridCol w:w="1278"/>
        <w:gridCol w:w="1278"/>
        <w:gridCol w:w="1278"/>
        <w:gridCol w:w="1392"/>
        <w:gridCol w:w="127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69" w:hRule="atLeast"/>
        </w:trPr>
        <w:tc>
          <w:tcPr>
            <w:tcW w:w="12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序号</w:t>
            </w:r>
          </w:p>
        </w:tc>
        <w:tc>
          <w:tcPr>
            <w:tcW w:w="21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名称</w:t>
            </w:r>
          </w:p>
        </w:tc>
        <w:tc>
          <w:tcPr>
            <w:tcW w:w="12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面积</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（hm2）</w:t>
            </w:r>
          </w:p>
        </w:tc>
        <w:tc>
          <w:tcPr>
            <w:tcW w:w="12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近期污水量指标</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m³/（hm2*d）</w:t>
            </w:r>
          </w:p>
        </w:tc>
        <w:tc>
          <w:tcPr>
            <w:tcW w:w="12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近期污水量</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（m³/d）</w:t>
            </w:r>
          </w:p>
        </w:tc>
        <w:tc>
          <w:tcPr>
            <w:tcW w:w="13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远期污水量指标</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m³/（hm2*d）</w:t>
            </w:r>
          </w:p>
        </w:tc>
        <w:tc>
          <w:tcPr>
            <w:tcW w:w="12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远期污水量</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（m³/d）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21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广州天马摩托车配件厂</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108.80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21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信平电子电路板厂</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153.60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21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松峰机械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278.4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371.20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21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广东康尔医疗科技有限公司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0.85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54.40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21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广州景信针织制衣有限公司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61.44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81.92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2"/>
                <w:sz w:val="22"/>
                <w:szCs w:val="22"/>
                <w:u w:val="none"/>
                <w:lang w:val="en-US" w:eastAsia="zh-CN" w:bidi="ar-SA"/>
              </w:rPr>
            </w:pPr>
            <w:r>
              <w:rPr>
                <w:rFonts w:hint="eastAsia" w:ascii="宋体" w:hAnsi="宋体" w:eastAsia="宋体" w:cs="宋体"/>
                <w:i w:val="0"/>
                <w:iCs w:val="0"/>
                <w:color w:val="auto"/>
                <w:kern w:val="0"/>
                <w:sz w:val="22"/>
                <w:szCs w:val="22"/>
                <w:u w:val="none"/>
                <w:lang w:val="en-US" w:eastAsia="zh-CN" w:bidi="ar"/>
              </w:rPr>
              <w:t>6</w:t>
            </w:r>
          </w:p>
        </w:tc>
        <w:tc>
          <w:tcPr>
            <w:tcW w:w="21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广州骏焱汽车服务有限公司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34.56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2"/>
                <w:sz w:val="22"/>
                <w:szCs w:val="22"/>
                <w:u w:val="none"/>
                <w:lang w:val="en-US" w:eastAsia="zh-CN" w:bidi="ar-SA"/>
              </w:rPr>
            </w:pPr>
            <w:r>
              <w:rPr>
                <w:rFonts w:hint="eastAsia" w:ascii="宋体" w:hAnsi="宋体" w:eastAsia="宋体" w:cs="宋体"/>
                <w:i w:val="0"/>
                <w:iCs w:val="0"/>
                <w:color w:val="auto"/>
                <w:kern w:val="0"/>
                <w:sz w:val="22"/>
                <w:szCs w:val="22"/>
                <w:u w:val="none"/>
                <w:lang w:val="en-US" w:eastAsia="zh-CN" w:bidi="ar"/>
              </w:rPr>
              <w:t>7</w:t>
            </w:r>
          </w:p>
        </w:tc>
        <w:tc>
          <w:tcPr>
            <w:tcW w:w="21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广州市壹帆交通设施有限公司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120.48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160.64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2"/>
                <w:sz w:val="22"/>
                <w:szCs w:val="22"/>
                <w:u w:val="none"/>
                <w:lang w:val="en-US" w:eastAsia="zh-CN" w:bidi="ar-SA"/>
              </w:rPr>
            </w:pPr>
            <w:r>
              <w:rPr>
                <w:rFonts w:hint="eastAsia" w:ascii="宋体" w:hAnsi="宋体" w:eastAsia="宋体" w:cs="宋体"/>
                <w:i w:val="0"/>
                <w:iCs w:val="0"/>
                <w:color w:val="auto"/>
                <w:kern w:val="0"/>
                <w:sz w:val="22"/>
                <w:szCs w:val="22"/>
                <w:u w:val="none"/>
                <w:lang w:val="en-US" w:eastAsia="zh-CN" w:bidi="ar"/>
              </w:rPr>
              <w:t>8</w:t>
            </w:r>
          </w:p>
        </w:tc>
        <w:tc>
          <w:tcPr>
            <w:tcW w:w="219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广州市家富食品有限公司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163.20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lang w:val="en-US" w:eastAsia="zh-CN"/>
              </w:rPr>
            </w:pPr>
            <w:r>
              <w:rPr>
                <w:rFonts w:hint="eastAsia" w:ascii="宋体" w:hAnsi="宋体" w:cs="宋体"/>
                <w:i w:val="0"/>
                <w:iCs w:val="0"/>
                <w:color w:val="auto"/>
                <w:sz w:val="22"/>
                <w:szCs w:val="22"/>
                <w:u w:val="none"/>
                <w:lang w:val="en-US" w:eastAsia="zh-CN"/>
              </w:rPr>
              <w:t>9</w:t>
            </w:r>
          </w:p>
        </w:tc>
        <w:tc>
          <w:tcPr>
            <w:tcW w:w="0" w:type="auto"/>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工业废水总计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846.24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1128.32 </w:t>
            </w:r>
          </w:p>
        </w:tc>
      </w:tr>
    </w:tbl>
    <w:p>
      <w:pPr>
        <w:keepNext w:val="0"/>
        <w:keepLines w:val="0"/>
        <w:pageBreakBefore w:val="0"/>
        <w:widowControl w:val="0"/>
        <w:kinsoku/>
        <w:wordWrap/>
        <w:overflowPunct/>
        <w:topLinePunct w:val="0"/>
        <w:autoSpaceDE/>
        <w:autoSpaceDN/>
        <w:bidi w:val="0"/>
        <w:adjustRightInd/>
        <w:snapToGrid/>
        <w:ind w:left="0" w:leftChars="0" w:firstLine="0" w:firstLineChars="0"/>
        <w:jc w:val="left"/>
        <w:textAlignment w:val="auto"/>
        <w:rPr>
          <w:rFonts w:hint="eastAsia" w:ascii="Times New Roman" w:hAnsi="Times New Roman" w:cs="Times New Roman" w:eastAsiaTheme="minorEastAsia"/>
          <w:color w:val="auto"/>
          <w:sz w:val="28"/>
          <w:szCs w:val="28"/>
          <w:lang w:val="en-US" w:eastAsia="zh-CN"/>
        </w:rPr>
      </w:pPr>
      <w:r>
        <w:rPr>
          <w:rFonts w:hint="default" w:ascii="Times New Roman" w:hAnsi="Times New Roman" w:cs="Times New Roman" w:eastAsiaTheme="minorEastAsia"/>
          <w:color w:val="auto"/>
          <w:sz w:val="28"/>
          <w:szCs w:val="28"/>
          <w:lang w:val="en-US" w:eastAsia="zh-CN"/>
        </w:rPr>
        <w:t>故现状总计污水量为Q</w:t>
      </w:r>
      <w:r>
        <w:rPr>
          <w:rFonts w:hint="eastAsia" w:ascii="Times New Roman" w:hAnsi="Times New Roman" w:cs="Times New Roman" w:eastAsiaTheme="minorEastAsia"/>
          <w:color w:val="auto"/>
          <w:sz w:val="28"/>
          <w:szCs w:val="28"/>
          <w:vertAlign w:val="subscript"/>
          <w:lang w:val="en-US" w:eastAsia="zh-CN"/>
        </w:rPr>
        <w:t>1</w:t>
      </w:r>
      <w:r>
        <w:rPr>
          <w:rFonts w:hint="default" w:ascii="Times New Roman" w:hAnsi="Times New Roman" w:cs="Times New Roman" w:eastAsiaTheme="minorEastAsia"/>
          <w:color w:val="auto"/>
          <w:sz w:val="28"/>
          <w:szCs w:val="28"/>
          <w:lang w:val="en-US" w:eastAsia="zh-CN"/>
        </w:rPr>
        <w:t>=515.59m³/d+846.24m³/d=1361.83m³/d=15.76L/s</w:t>
      </w:r>
      <w:r>
        <w:rPr>
          <w:rFonts w:hint="eastAsia" w:ascii="Times New Roman" w:hAnsi="Times New Roman" w:cs="Times New Roman" w:eastAsiaTheme="minorEastAsia"/>
          <w:color w:val="auto"/>
          <w:sz w:val="28"/>
          <w:szCs w:val="28"/>
          <w:lang w:val="en-US" w:eastAsia="zh-CN"/>
        </w:rPr>
        <w:t>。</w:t>
      </w:r>
    </w:p>
    <w:p>
      <w:pPr>
        <w:ind w:left="0" w:leftChars="0" w:firstLine="565" w:firstLineChars="0"/>
        <w:jc w:val="left"/>
        <w:rPr>
          <w:rFonts w:hint="eastAsia" w:ascii="Times New Roman" w:hAnsi="Times New Roman" w:cs="Times New Roman" w:eastAsiaTheme="minorEastAsia"/>
          <w:color w:val="auto"/>
          <w:sz w:val="28"/>
          <w:szCs w:val="28"/>
          <w:lang w:val="en-US" w:eastAsia="zh-CN"/>
        </w:rPr>
      </w:pPr>
      <w:r>
        <w:rPr>
          <w:rFonts w:hint="eastAsia" w:ascii="Times New Roman" w:hAnsi="Times New Roman" w:cs="Times New Roman" w:eastAsiaTheme="minorEastAsia"/>
          <w:color w:val="auto"/>
          <w:sz w:val="28"/>
          <w:szCs w:val="28"/>
          <w:lang w:val="en-US" w:eastAsia="zh-CN"/>
        </w:rPr>
        <w:t>因Y523片区仅有路口处存在土地利用规划，其他地区暂无开发规划，故规划污水量考虑企业发展，采用较高的污水量指标，行政村部分采用现状污水量，计算规划污水量总量为Q</w:t>
      </w:r>
      <w:r>
        <w:rPr>
          <w:rFonts w:hint="eastAsia" w:ascii="Times New Roman" w:hAnsi="Times New Roman" w:cs="Times New Roman" w:eastAsiaTheme="minorEastAsia"/>
          <w:color w:val="auto"/>
          <w:sz w:val="28"/>
          <w:szCs w:val="28"/>
          <w:vertAlign w:val="subscript"/>
          <w:lang w:val="en-US" w:eastAsia="zh-CN"/>
        </w:rPr>
        <w:t>2</w:t>
      </w:r>
      <w:r>
        <w:rPr>
          <w:rFonts w:hint="eastAsia" w:ascii="Times New Roman" w:hAnsi="Times New Roman" w:cs="Times New Roman" w:eastAsiaTheme="minorEastAsia"/>
          <w:color w:val="auto"/>
          <w:sz w:val="28"/>
          <w:szCs w:val="28"/>
          <w:lang w:val="en-US" w:eastAsia="zh-CN"/>
        </w:rPr>
        <w:t>=515.59</w:t>
      </w:r>
      <w:r>
        <w:rPr>
          <w:rFonts w:hint="default" w:ascii="Times New Roman" w:hAnsi="Times New Roman" w:cs="Times New Roman" w:eastAsiaTheme="minorEastAsia"/>
          <w:color w:val="auto"/>
          <w:sz w:val="28"/>
          <w:szCs w:val="28"/>
          <w:lang w:val="en-US" w:eastAsia="zh-CN"/>
        </w:rPr>
        <w:t>m³/d</w:t>
      </w:r>
      <w:r>
        <w:rPr>
          <w:rFonts w:hint="eastAsia" w:ascii="Times New Roman" w:hAnsi="Times New Roman" w:cs="Times New Roman" w:eastAsiaTheme="minorEastAsia"/>
          <w:color w:val="auto"/>
          <w:sz w:val="28"/>
          <w:szCs w:val="28"/>
          <w:lang w:val="en-US" w:eastAsia="zh-CN"/>
        </w:rPr>
        <w:t>+1128.32</w:t>
      </w:r>
      <w:r>
        <w:rPr>
          <w:rFonts w:hint="default" w:ascii="Times New Roman" w:hAnsi="Times New Roman" w:cs="Times New Roman" w:eastAsiaTheme="minorEastAsia"/>
          <w:color w:val="auto"/>
          <w:sz w:val="28"/>
          <w:szCs w:val="28"/>
          <w:lang w:val="en-US" w:eastAsia="zh-CN"/>
        </w:rPr>
        <w:t>m³/d</w:t>
      </w:r>
      <w:r>
        <w:rPr>
          <w:rFonts w:hint="eastAsia" w:ascii="Times New Roman" w:hAnsi="Times New Roman" w:cs="Times New Roman" w:eastAsiaTheme="minorEastAsia"/>
          <w:color w:val="auto"/>
          <w:sz w:val="28"/>
          <w:szCs w:val="28"/>
          <w:lang w:val="en-US" w:eastAsia="zh-CN"/>
        </w:rPr>
        <w:t>=1643.91</w:t>
      </w:r>
      <w:r>
        <w:rPr>
          <w:rFonts w:hint="default" w:ascii="Times New Roman" w:hAnsi="Times New Roman" w:cs="Times New Roman" w:eastAsiaTheme="minorEastAsia"/>
          <w:color w:val="auto"/>
          <w:sz w:val="28"/>
          <w:szCs w:val="28"/>
          <w:lang w:val="en-US" w:eastAsia="zh-CN"/>
        </w:rPr>
        <w:t>m³/d</w:t>
      </w:r>
      <w:r>
        <w:rPr>
          <w:rFonts w:hint="eastAsia" w:ascii="Times New Roman" w:hAnsi="Times New Roman" w:cs="Times New Roman" w:eastAsiaTheme="minorEastAsia"/>
          <w:color w:val="auto"/>
          <w:sz w:val="28"/>
          <w:szCs w:val="28"/>
          <w:lang w:val="en-US" w:eastAsia="zh-CN"/>
        </w:rPr>
        <w:t>=19</w:t>
      </w:r>
      <w:r>
        <w:rPr>
          <w:rFonts w:hint="default" w:ascii="Times New Roman" w:hAnsi="Times New Roman" w:cs="Times New Roman" w:eastAsiaTheme="minorEastAsia"/>
          <w:color w:val="auto"/>
          <w:sz w:val="28"/>
          <w:szCs w:val="28"/>
          <w:lang w:val="en-US" w:eastAsia="zh-CN"/>
        </w:rPr>
        <w:t>L/s</w:t>
      </w:r>
      <w:r>
        <w:rPr>
          <w:rFonts w:hint="eastAsia" w:ascii="Times New Roman" w:hAnsi="Times New Roman" w:cs="Times New Roman" w:eastAsiaTheme="minorEastAsia"/>
          <w:color w:val="auto"/>
          <w:sz w:val="28"/>
          <w:szCs w:val="28"/>
          <w:lang w:val="en-US" w:eastAsia="zh-CN"/>
        </w:rPr>
        <w:t>。</w:t>
      </w:r>
    </w:p>
    <w:p>
      <w:pPr>
        <w:pStyle w:val="40"/>
        <w:numPr>
          <w:ilvl w:val="2"/>
          <w:numId w:val="9"/>
        </w:numPr>
        <w:bidi w:val="0"/>
        <w:rPr>
          <w:rFonts w:hint="eastAsia"/>
          <w:color w:val="auto"/>
          <w:lang w:eastAsia="zh-CN"/>
        </w:rPr>
      </w:pPr>
      <w:r>
        <w:rPr>
          <w:rFonts w:hint="eastAsia"/>
          <w:color w:val="auto"/>
          <w:lang w:eastAsia="zh-CN"/>
        </w:rPr>
        <w:t>平面设计</w:t>
      </w:r>
    </w:p>
    <w:p>
      <w:pPr>
        <w:ind w:left="0" w:leftChars="0" w:firstLine="565" w:firstLineChars="0"/>
        <w:jc w:val="left"/>
        <w:rPr>
          <w:rFonts w:hint="eastAsia"/>
          <w:color w:val="auto"/>
          <w:sz w:val="28"/>
          <w:szCs w:val="28"/>
          <w:lang w:val="en-US" w:eastAsia="zh-CN"/>
        </w:rPr>
      </w:pPr>
      <w:r>
        <w:rPr>
          <w:rFonts w:hint="eastAsia" w:cs="宋体" w:asciiTheme="minorEastAsia" w:hAnsiTheme="minorEastAsia" w:eastAsiaTheme="minorEastAsia"/>
          <w:color w:val="auto"/>
          <w:sz w:val="28"/>
          <w:szCs w:val="28"/>
          <w:lang w:eastAsia="zh-CN"/>
        </w:rPr>
        <w:t>沿</w:t>
      </w:r>
      <w:r>
        <w:rPr>
          <w:rFonts w:hint="eastAsia" w:cs="宋体" w:asciiTheme="minorEastAsia" w:hAnsiTheme="minorEastAsia" w:eastAsiaTheme="minorEastAsia"/>
          <w:color w:val="auto"/>
          <w:sz w:val="28"/>
          <w:szCs w:val="28"/>
          <w:lang w:val="en-US" w:eastAsia="zh-CN"/>
        </w:rPr>
        <w:t>Y523道路东侧（从化市区方向）车行道上进行明挖施工，</w:t>
      </w:r>
      <w:r>
        <w:rPr>
          <w:rFonts w:hint="eastAsia"/>
          <w:color w:val="auto"/>
          <w:sz w:val="28"/>
          <w:szCs w:val="28"/>
          <w:lang w:val="en-US" w:eastAsia="zh-CN"/>
        </w:rPr>
        <w:t>对单向一车道进行全线围蔽，并对路面进行破坏修复。横向过路收水支管采用分段施工，临时围蔽。全线施工配备交通疏解。在过河管段，采用明挖施工，钢管过河。</w:t>
      </w:r>
    </w:p>
    <w:p>
      <w:pPr>
        <w:ind w:left="0" w:leftChars="0" w:firstLine="557" w:firstLineChars="198"/>
        <w:jc w:val="left"/>
        <w:rPr>
          <w:rFonts w:hint="eastAsia" w:cs="宋体"/>
          <w:color w:val="auto"/>
          <w:sz w:val="28"/>
          <w:szCs w:val="21"/>
          <w:lang w:val="en-US" w:eastAsia="zh-CN"/>
        </w:rPr>
      </w:pPr>
      <w:r>
        <w:rPr>
          <w:rFonts w:hint="eastAsia" w:cs="宋体"/>
          <w:color w:val="auto"/>
          <w:sz w:val="28"/>
          <w:szCs w:val="21"/>
          <w:lang w:val="en-US" w:eastAsia="zh-CN"/>
        </w:rPr>
        <w:t>方案一平面布置如下图：</w:t>
      </w:r>
    </w:p>
    <w:p>
      <w:pPr>
        <w:ind w:left="0" w:leftChars="0" w:firstLine="0" w:firstLineChars="0"/>
        <w:jc w:val="center"/>
        <w:rPr>
          <w:rFonts w:hint="default" w:cs="宋体"/>
          <w:color w:val="auto"/>
          <w:sz w:val="28"/>
          <w:szCs w:val="21"/>
          <w:lang w:val="en-US" w:eastAsia="zh-CN"/>
        </w:rPr>
      </w:pPr>
      <w:r>
        <w:drawing>
          <wp:inline distT="0" distB="0" distL="114300" distR="114300">
            <wp:extent cx="5939155" cy="5193030"/>
            <wp:effectExtent l="0" t="0" r="4445" b="7620"/>
            <wp:docPr id="10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2"/>
                    <pic:cNvPicPr>
                      <a:picLocks noChangeAspect="1"/>
                    </pic:cNvPicPr>
                  </pic:nvPicPr>
                  <pic:blipFill>
                    <a:blip r:embed="rId64"/>
                    <a:stretch>
                      <a:fillRect/>
                    </a:stretch>
                  </pic:blipFill>
                  <pic:spPr>
                    <a:xfrm>
                      <a:off x="0" y="0"/>
                      <a:ext cx="5939155" cy="5193030"/>
                    </a:xfrm>
                    <a:prstGeom prst="rect">
                      <a:avLst/>
                    </a:prstGeom>
                    <a:noFill/>
                    <a:ln>
                      <a:noFill/>
                    </a:ln>
                  </pic:spPr>
                </pic:pic>
              </a:graphicData>
            </a:graphic>
          </wp:inline>
        </w:drawing>
      </w:r>
    </w:p>
    <w:p>
      <w:pPr>
        <w:pStyle w:val="91"/>
        <w:numPr>
          <w:ilvl w:val="8"/>
          <w:numId w:val="9"/>
        </w:numPr>
        <w:bidi w:val="0"/>
        <w:rPr>
          <w:rFonts w:hint="default"/>
          <w:color w:val="auto"/>
          <w:lang w:val="en-US" w:eastAsia="zh-CN"/>
        </w:rPr>
      </w:pPr>
      <w:r>
        <w:rPr>
          <w:rFonts w:hint="eastAsia"/>
          <w:color w:val="auto"/>
          <w:lang w:val="en-US" w:eastAsia="zh-CN"/>
        </w:rPr>
        <w:t>方案一管线平面布置示意图</w:t>
      </w:r>
    </w:p>
    <w:p>
      <w:pPr>
        <w:pStyle w:val="44"/>
        <w:numPr>
          <w:ilvl w:val="8"/>
          <w:numId w:val="0"/>
        </w:numPr>
        <w:bidi w:val="0"/>
        <w:ind w:leftChars="0"/>
        <w:jc w:val="center"/>
        <w:rPr>
          <w:rFonts w:hint="eastAsia"/>
          <w:color w:val="auto"/>
          <w:lang w:val="en-US" w:eastAsia="zh-CN"/>
        </w:rPr>
      </w:pPr>
      <w:r>
        <w:rPr>
          <w:rFonts w:hint="eastAsia"/>
          <w:color w:val="auto"/>
          <w:lang w:val="en-US" w:eastAsia="zh-CN"/>
        </w:rPr>
        <w:drawing>
          <wp:inline distT="0" distB="0" distL="114300" distR="114300">
            <wp:extent cx="5046345" cy="2339975"/>
            <wp:effectExtent l="0" t="0" r="1905" b="3175"/>
            <wp:docPr id="10" name="图片 10" descr="Y523管段-布局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Y523管段-布局1"/>
                    <pic:cNvPicPr>
                      <a:picLocks noChangeAspect="1"/>
                    </pic:cNvPicPr>
                  </pic:nvPicPr>
                  <pic:blipFill>
                    <a:blip r:embed="rId65"/>
                    <a:srcRect l="16541" t="31959" r="15125" b="28180"/>
                    <a:stretch>
                      <a:fillRect/>
                    </a:stretch>
                  </pic:blipFill>
                  <pic:spPr>
                    <a:xfrm>
                      <a:off x="0" y="0"/>
                      <a:ext cx="5046345" cy="2339975"/>
                    </a:xfrm>
                    <a:prstGeom prst="rect">
                      <a:avLst/>
                    </a:prstGeom>
                  </pic:spPr>
                </pic:pic>
              </a:graphicData>
            </a:graphic>
          </wp:inline>
        </w:drawing>
      </w:r>
    </w:p>
    <w:p>
      <w:pPr>
        <w:pStyle w:val="44"/>
        <w:numPr>
          <w:ilvl w:val="8"/>
          <w:numId w:val="9"/>
        </w:numPr>
        <w:bidi w:val="0"/>
        <w:rPr>
          <w:rFonts w:hint="eastAsia"/>
          <w:color w:val="auto"/>
          <w:lang w:eastAsia="zh-CN"/>
        </w:rPr>
      </w:pPr>
      <w:r>
        <w:rPr>
          <w:rFonts w:hint="eastAsia"/>
          <w:color w:val="auto"/>
          <w:lang w:val="en-US" w:eastAsia="zh-CN"/>
        </w:rPr>
        <w:t>方案一横断面示意图</w:t>
      </w:r>
    </w:p>
    <w:p>
      <w:pPr>
        <w:pStyle w:val="37"/>
        <w:numPr>
          <w:ilvl w:val="3"/>
          <w:numId w:val="18"/>
        </w:numPr>
        <w:rPr>
          <w:rFonts w:cs="宋体" w:asciiTheme="minorEastAsia" w:hAnsiTheme="minorEastAsia" w:eastAsiaTheme="minorEastAsia"/>
          <w:color w:val="auto"/>
          <w:sz w:val="28"/>
          <w:szCs w:val="24"/>
        </w:rPr>
      </w:pPr>
      <w:r>
        <w:rPr>
          <w:rFonts w:hint="eastAsia" w:cs="宋体" w:asciiTheme="minorEastAsia" w:hAnsiTheme="minorEastAsia" w:eastAsiaTheme="minorEastAsia"/>
          <w:color w:val="auto"/>
          <w:sz w:val="28"/>
          <w:szCs w:val="24"/>
          <w:lang w:eastAsia="zh-CN"/>
        </w:rPr>
        <w:t>水力计算</w:t>
      </w:r>
    </w:p>
    <w:p>
      <w:pPr>
        <w:pStyle w:val="15"/>
        <w:ind w:firstLine="565"/>
        <w:rPr>
          <w:rFonts w:cs="宋体" w:asciiTheme="minorEastAsia" w:hAnsiTheme="minorEastAsia" w:eastAsiaTheme="minorEastAsia"/>
          <w:color w:val="auto"/>
          <w:sz w:val="28"/>
          <w:szCs w:val="22"/>
        </w:rPr>
      </w:pPr>
      <w:r>
        <w:rPr>
          <w:rFonts w:cs="宋体" w:asciiTheme="minorEastAsia" w:hAnsiTheme="minorEastAsia" w:eastAsiaTheme="minorEastAsia"/>
          <w:color w:val="auto"/>
          <w:sz w:val="28"/>
          <w:szCs w:val="22"/>
        </w:rPr>
        <w:t>根据管道水力计算公式：</w:t>
      </w:r>
    </w:p>
    <w:p>
      <w:pPr>
        <w:ind w:firstLine="565"/>
        <w:jc w:val="center"/>
        <w:rPr>
          <w:rFonts w:hint="default"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Q=Av</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式中：Q------设计流量（m³/s）</w:t>
      </w:r>
    </w:p>
    <w:p>
      <w:pPr>
        <w:ind w:firstLine="1410" w:firstLineChars="50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A----水流有效断面面积（㎡）</w:t>
      </w:r>
    </w:p>
    <w:p>
      <w:pPr>
        <w:ind w:firstLine="1410" w:firstLineChars="500"/>
        <w:rPr>
          <w:rFonts w:cs="宋体"/>
          <w:color w:val="auto"/>
          <w:sz w:val="28"/>
          <w:szCs w:val="21"/>
        </w:rPr>
      </w:pPr>
      <w:r>
        <w:rPr>
          <w:rFonts w:cs="宋体" w:asciiTheme="minorEastAsia" w:hAnsiTheme="minorEastAsia" w:eastAsiaTheme="minorEastAsia"/>
          <w:color w:val="auto"/>
          <w:sz w:val="28"/>
          <w:szCs w:val="21"/>
        </w:rPr>
        <w:t>V------流速（m/s）</w:t>
      </w:r>
    </w:p>
    <w:p>
      <w:pPr>
        <w:pageBreakBefore w:val="0"/>
        <w:kinsoku/>
        <w:wordWrap/>
        <w:overflowPunct/>
        <w:topLinePunct w:val="0"/>
        <w:bidi w:val="0"/>
        <w:spacing w:line="360" w:lineRule="auto"/>
        <w:jc w:val="left"/>
        <w:textAlignment w:val="auto"/>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管径复核—根据曼宁公式：</w:t>
      </w:r>
    </w:p>
    <w:p>
      <w:pPr>
        <w:pageBreakBefore w:val="0"/>
        <w:kinsoku/>
        <w:wordWrap/>
        <w:overflowPunct/>
        <w:topLinePunct w:val="0"/>
        <w:bidi w:val="0"/>
        <w:spacing w:line="360" w:lineRule="auto"/>
        <w:ind w:firstLine="0" w:firstLineChars="0"/>
        <w:jc w:val="center"/>
        <w:textAlignment w:val="auto"/>
        <w:rPr>
          <w:rFonts w:ascii="宋体" w:hAnsi="宋体" w:cs="宋体"/>
          <w:b w:val="0"/>
          <w:bCs w:val="0"/>
          <w:color w:val="auto"/>
          <w:sz w:val="28"/>
          <w:szCs w:val="22"/>
        </w:rPr>
      </w:pPr>
      <w:r>
        <w:rPr>
          <w:rFonts w:hint="eastAsia" w:eastAsia="Times New Roman" w:cs="宋体"/>
          <w:b w:val="0"/>
          <w:bCs w:val="0"/>
          <w:color w:val="auto"/>
          <w:sz w:val="28"/>
          <w:szCs w:val="22"/>
        </w:rPr>
        <w:t>V=1/</w:t>
      </w:r>
      <w:r>
        <w:rPr>
          <w:rFonts w:hint="eastAsia" w:cs="宋体"/>
          <w:b w:val="0"/>
          <w:bCs w:val="0"/>
          <w:color w:val="auto"/>
          <w:sz w:val="28"/>
          <w:szCs w:val="22"/>
        </w:rPr>
        <w:t>n</w:t>
      </w:r>
      <w:r>
        <w:rPr>
          <w:rFonts w:hint="eastAsia" w:cs="宋体"/>
          <w:b w:val="0"/>
          <w:bCs w:val="0"/>
          <w:color w:val="auto"/>
          <w:sz w:val="28"/>
          <w:szCs w:val="22"/>
          <w:lang w:eastAsia="zh-CN"/>
        </w:rPr>
        <w:t>×</w:t>
      </w:r>
      <w:r>
        <w:rPr>
          <w:rFonts w:hint="eastAsia" w:cs="宋体"/>
          <w:b w:val="0"/>
          <w:bCs w:val="0"/>
          <w:color w:val="auto"/>
          <w:sz w:val="28"/>
          <w:szCs w:val="22"/>
        </w:rPr>
        <w:t>R</w:t>
      </w:r>
      <w:r>
        <w:rPr>
          <w:rFonts w:hint="eastAsia" w:cs="宋体"/>
          <w:b w:val="0"/>
          <w:bCs w:val="0"/>
          <w:color w:val="auto"/>
          <w:sz w:val="28"/>
          <w:szCs w:val="22"/>
          <w:vertAlign w:val="superscript"/>
        </w:rPr>
        <w:t>2/3</w:t>
      </w:r>
      <w:r>
        <w:rPr>
          <w:rFonts w:hint="eastAsia" w:cs="宋体"/>
          <w:b w:val="0"/>
          <w:bCs w:val="0"/>
          <w:color w:val="auto"/>
          <w:sz w:val="28"/>
          <w:szCs w:val="22"/>
          <w:lang w:eastAsia="zh-CN"/>
        </w:rPr>
        <w:t>×</w:t>
      </w:r>
      <w:r>
        <w:rPr>
          <w:rFonts w:hint="eastAsia" w:cs="宋体"/>
          <w:b w:val="0"/>
          <w:bCs w:val="0"/>
          <w:color w:val="auto"/>
          <w:sz w:val="28"/>
          <w:szCs w:val="22"/>
        </w:rPr>
        <w:t>I</w:t>
      </w:r>
      <w:r>
        <w:rPr>
          <w:rFonts w:hint="eastAsia" w:cs="宋体"/>
          <w:b w:val="0"/>
          <w:bCs w:val="0"/>
          <w:color w:val="auto"/>
          <w:sz w:val="28"/>
          <w:szCs w:val="22"/>
          <w:vertAlign w:val="superscript"/>
        </w:rPr>
        <w:t>1/2</w:t>
      </w:r>
    </w:p>
    <w:p>
      <w:pPr>
        <w:pageBreakBefore w:val="0"/>
        <w:kinsoku/>
        <w:wordWrap/>
        <w:overflowPunct/>
        <w:topLinePunct w:val="0"/>
        <w:bidi w:val="0"/>
        <w:spacing w:line="360" w:lineRule="auto"/>
        <w:ind w:firstLine="0" w:firstLineChars="0"/>
        <w:textAlignment w:val="auto"/>
        <w:rPr>
          <w:rFonts w:cs="宋体"/>
          <w:color w:val="auto"/>
          <w:sz w:val="28"/>
          <w:szCs w:val="22"/>
        </w:rPr>
      </w:pPr>
      <w:r>
        <w:rPr>
          <w:rFonts w:cs="宋体"/>
          <w:color w:val="auto"/>
          <w:sz w:val="28"/>
          <w:szCs w:val="22"/>
        </w:rPr>
        <w:t>式中：</w:t>
      </w:r>
      <w:r>
        <w:rPr>
          <w:rFonts w:hint="eastAsia" w:cs="宋体"/>
          <w:color w:val="auto"/>
          <w:sz w:val="28"/>
          <w:szCs w:val="22"/>
          <w:lang w:val="en-US" w:eastAsia="zh-CN"/>
        </w:rPr>
        <w:t xml:space="preserve"> </w:t>
      </w:r>
      <w:r>
        <w:rPr>
          <w:rFonts w:cs="宋体"/>
          <w:color w:val="auto"/>
          <w:sz w:val="28"/>
          <w:szCs w:val="22"/>
        </w:rPr>
        <w:t xml:space="preserve"> V—流速（m/s）；</w:t>
      </w:r>
    </w:p>
    <w:p>
      <w:pPr>
        <w:ind w:firstLine="1128" w:firstLineChars="400"/>
        <w:rPr>
          <w:rFonts w:cs="宋体"/>
          <w:color w:val="auto"/>
          <w:sz w:val="28"/>
          <w:szCs w:val="22"/>
        </w:rPr>
      </w:pPr>
      <w:r>
        <w:rPr>
          <w:rFonts w:cs="宋体"/>
          <w:color w:val="auto"/>
          <w:sz w:val="28"/>
          <w:szCs w:val="22"/>
        </w:rPr>
        <w:t xml:space="preserve">R—水力半径（m）； </w:t>
      </w:r>
    </w:p>
    <w:p>
      <w:pPr>
        <w:ind w:firstLine="1128" w:firstLineChars="400"/>
        <w:rPr>
          <w:rFonts w:hint="eastAsia" w:eastAsia="宋体" w:cs="宋体" w:asciiTheme="minorEastAsia" w:hAnsiTheme="minorEastAsia"/>
          <w:color w:val="auto"/>
          <w:sz w:val="28"/>
          <w:szCs w:val="21"/>
          <w:lang w:eastAsia="zh-CN"/>
        </w:rPr>
      </w:pPr>
      <w:r>
        <w:rPr>
          <w:rFonts w:cs="宋体"/>
          <w:color w:val="auto"/>
          <w:sz w:val="28"/>
          <w:szCs w:val="22"/>
        </w:rPr>
        <w:t>I—水力坡度</w:t>
      </w:r>
      <w:r>
        <w:rPr>
          <w:rFonts w:hint="eastAsia" w:cs="宋体"/>
          <w:color w:val="auto"/>
          <w:sz w:val="28"/>
          <w:szCs w:val="22"/>
          <w:lang w:eastAsia="zh-CN"/>
        </w:rPr>
        <w:t>；</w:t>
      </w:r>
    </w:p>
    <w:p>
      <w:pPr>
        <w:ind w:firstLine="1128" w:firstLineChars="400"/>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val="en-US" w:eastAsia="zh-CN"/>
        </w:rPr>
        <w:t>n—</w:t>
      </w:r>
      <w:r>
        <w:rPr>
          <w:rFonts w:cs="宋体" w:asciiTheme="minorEastAsia" w:hAnsiTheme="minorEastAsia" w:eastAsiaTheme="minorEastAsia"/>
          <w:color w:val="auto"/>
          <w:sz w:val="28"/>
          <w:szCs w:val="21"/>
        </w:rPr>
        <w:t>粗糙系数</w:t>
      </w:r>
      <w:r>
        <w:rPr>
          <w:rFonts w:hint="eastAsia" w:cs="宋体" w:asciiTheme="minorEastAsia" w:hAnsiTheme="minorEastAsia" w:eastAsiaTheme="minorEastAsia"/>
          <w:color w:val="auto"/>
          <w:sz w:val="28"/>
          <w:szCs w:val="21"/>
          <w:lang w:eastAsia="zh-CN"/>
        </w:rPr>
        <w:t>；</w:t>
      </w:r>
    </w:p>
    <w:p>
      <w:pPr>
        <w:ind w:left="0" w:leftChars="0" w:firstLine="846" w:firstLineChars="300"/>
        <w:rPr>
          <w:rFonts w:hint="default"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eastAsia="zh-CN"/>
        </w:rPr>
        <w:t>根据上述公式计算，</w:t>
      </w:r>
      <w:r>
        <w:rPr>
          <w:rFonts w:hint="eastAsia" w:cs="宋体" w:asciiTheme="minorEastAsia" w:hAnsiTheme="minorEastAsia" w:eastAsiaTheme="minorEastAsia"/>
          <w:color w:val="auto"/>
          <w:sz w:val="28"/>
          <w:szCs w:val="21"/>
          <w:lang w:val="en-US" w:eastAsia="zh-CN"/>
        </w:rPr>
        <w:t>DN500管道坡度为2‰时，管道最大过流能力为168.86L/s；在最大设计充满度下的过流能力为141.38L/s。</w:t>
      </w:r>
    </w:p>
    <w:p>
      <w:pPr>
        <w:pStyle w:val="41"/>
        <w:keepNext/>
        <w:keepLines w:val="0"/>
        <w:pageBreakBefore w:val="0"/>
        <w:widowControl w:val="0"/>
        <w:numPr>
          <w:ilvl w:val="7"/>
          <w:numId w:val="9"/>
        </w:numPr>
        <w:kinsoku/>
        <w:wordWrap/>
        <w:overflowPunct/>
        <w:topLinePunct w:val="0"/>
        <w:autoSpaceDE/>
        <w:autoSpaceDN/>
        <w:bidi w:val="0"/>
        <w:adjustRightInd/>
        <w:snapToGrid/>
        <w:textAlignment w:val="auto"/>
        <w:rPr>
          <w:rFonts w:hint="eastAsia" w:cs="Times New Roman" w:asciiTheme="minorEastAsia" w:hAnsiTheme="minorEastAsia" w:eastAsiaTheme="minorEastAsia"/>
          <w:color w:val="auto"/>
          <w:sz w:val="24"/>
          <w:szCs w:val="21"/>
          <w:lang w:eastAsia="zh-CN"/>
        </w:rPr>
      </w:pPr>
      <w:r>
        <w:rPr>
          <w:rFonts w:hint="eastAsia" w:cs="宋体" w:asciiTheme="minorEastAsia" w:hAnsiTheme="minorEastAsia" w:eastAsiaTheme="minorEastAsia"/>
          <w:color w:val="auto"/>
          <w:sz w:val="28"/>
          <w:szCs w:val="21"/>
          <w:lang w:val="en-US" w:eastAsia="zh-CN"/>
        </w:rPr>
        <w:t xml:space="preserve"> </w:t>
      </w:r>
      <w:r>
        <w:rPr>
          <w:rFonts w:hint="eastAsia" w:cs="宋体" w:asciiTheme="minorEastAsia" w:hAnsiTheme="minorEastAsia" w:eastAsiaTheme="minorEastAsia"/>
          <w:color w:val="auto"/>
          <w:sz w:val="28"/>
          <w:szCs w:val="21"/>
          <w:lang w:eastAsia="zh-CN"/>
        </w:rPr>
        <w:t>水力计算表</w:t>
      </w:r>
    </w:p>
    <w:tbl>
      <w:tblPr>
        <w:tblStyle w:val="31"/>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18"/>
        <w:gridCol w:w="1312"/>
        <w:gridCol w:w="737"/>
        <w:gridCol w:w="995"/>
        <w:gridCol w:w="995"/>
        <w:gridCol w:w="737"/>
        <w:gridCol w:w="737"/>
        <w:gridCol w:w="778"/>
        <w:gridCol w:w="995"/>
        <w:gridCol w:w="88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50" w:hRule="atLeast"/>
        </w:trPr>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管径-坡度</w:t>
            </w:r>
          </w:p>
        </w:tc>
        <w:tc>
          <w:tcPr>
            <w:tcW w:w="7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近期旱流污水量</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（L/s）</w:t>
            </w:r>
          </w:p>
        </w:tc>
        <w:tc>
          <w:tcPr>
            <w:tcW w:w="4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综合生活污水量总变化系数</w:t>
            </w:r>
          </w:p>
        </w:tc>
        <w:tc>
          <w:tcPr>
            <w:tcW w:w="46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近期最高日最大时污水量（L/s）</w:t>
            </w:r>
          </w:p>
        </w:tc>
        <w:tc>
          <w:tcPr>
            <w:tcW w:w="46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近期管道流速</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（m/s）</w:t>
            </w:r>
          </w:p>
        </w:tc>
        <w:tc>
          <w:tcPr>
            <w:tcW w:w="4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规划旱流污水量</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L/s</w:t>
            </w:r>
          </w:p>
        </w:tc>
        <w:tc>
          <w:tcPr>
            <w:tcW w:w="4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综合生活污水量总变化系数</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三倍规划旱流污水量L/s</w:t>
            </w:r>
          </w:p>
        </w:tc>
        <w:tc>
          <w:tcPr>
            <w:tcW w:w="46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三倍规划旱流</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污水量流速（m/s）</w:t>
            </w:r>
          </w:p>
        </w:tc>
        <w:tc>
          <w:tcPr>
            <w:tcW w:w="4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充满度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DN500-2‰</w:t>
            </w:r>
          </w:p>
        </w:tc>
        <w:tc>
          <w:tcPr>
            <w:tcW w:w="7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15.76</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w:t>
            </w:r>
          </w:p>
        </w:tc>
        <w:tc>
          <w:tcPr>
            <w:tcW w:w="4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37.82 </w:t>
            </w:r>
          </w:p>
        </w:tc>
        <w:tc>
          <w:tcPr>
            <w:tcW w:w="4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0.7</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19</w:t>
            </w:r>
          </w:p>
        </w:tc>
        <w:tc>
          <w:tcPr>
            <w:tcW w:w="4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w:t>
            </w:r>
          </w:p>
        </w:tc>
        <w:tc>
          <w:tcPr>
            <w:tcW w:w="4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125.4</w:t>
            </w:r>
          </w:p>
        </w:tc>
        <w:tc>
          <w:tcPr>
            <w:tcW w:w="4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0.94</w:t>
            </w:r>
          </w:p>
        </w:tc>
        <w:tc>
          <w:tcPr>
            <w:tcW w:w="4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65%</w:t>
            </w:r>
          </w:p>
        </w:tc>
      </w:tr>
    </w:tbl>
    <w:p>
      <w:pPr>
        <w:pStyle w:val="36"/>
        <w:ind w:left="0" w:leftChars="0" w:firstLine="604" w:firstLineChars="200"/>
        <w:rPr>
          <w:rFonts w:hint="default" w:cs="宋体"/>
          <w:color w:val="auto"/>
          <w:sz w:val="28"/>
          <w:szCs w:val="18"/>
          <w:lang w:val="en-US" w:eastAsia="zh-CN"/>
        </w:rPr>
      </w:pPr>
      <w:r>
        <w:rPr>
          <w:rFonts w:hint="eastAsia" w:cs="宋体"/>
          <w:color w:val="auto"/>
          <w:sz w:val="28"/>
          <w:szCs w:val="18"/>
          <w:lang w:val="en-US" w:eastAsia="zh-CN"/>
        </w:rPr>
        <w:t>根据水力计算及管径复核结果，本工程选用管道满足现状不淤流速要求及规划三倍旱流污水量的过流能力要求，远期满足污水流量需求。</w:t>
      </w:r>
    </w:p>
    <w:p>
      <w:pPr>
        <w:pStyle w:val="37"/>
        <w:numPr>
          <w:ilvl w:val="3"/>
          <w:numId w:val="21"/>
        </w:numPr>
        <w:rPr>
          <w:rFonts w:hint="eastAsia" w:eastAsia="宋体"/>
          <w:color w:val="auto"/>
          <w:sz w:val="28"/>
          <w:szCs w:val="18"/>
          <w:highlight w:val="none"/>
          <w:lang w:val="en-US" w:eastAsia="zh-CN"/>
        </w:rPr>
      </w:pPr>
      <w:r>
        <w:rPr>
          <w:rFonts w:hint="eastAsia" w:eastAsia="宋体"/>
          <w:color w:val="auto"/>
          <w:sz w:val="28"/>
          <w:szCs w:val="18"/>
          <w:highlight w:val="none"/>
          <w:lang w:val="en-US" w:eastAsia="zh-CN"/>
        </w:rPr>
        <w:t>倒虹管水力计算</w:t>
      </w:r>
    </w:p>
    <w:p>
      <w:pPr>
        <w:rPr>
          <w:rFonts w:hint="eastAsia" w:ascii="宋体" w:hAnsi="宋体" w:eastAsia="宋体" w:cs="宋体"/>
          <w:color w:val="auto"/>
          <w:sz w:val="28"/>
          <w:szCs w:val="21"/>
          <w:lang w:val="en-US" w:eastAsia="zh-CN"/>
        </w:rPr>
      </w:pPr>
      <w:r>
        <w:rPr>
          <w:rFonts w:hint="eastAsia" w:ascii="宋体" w:hAnsi="宋体" w:eastAsia="宋体" w:cs="宋体"/>
          <w:color w:val="auto"/>
          <w:sz w:val="28"/>
          <w:szCs w:val="21"/>
          <w:lang w:val="en-US" w:eastAsia="zh-CN"/>
        </w:rPr>
        <w:t>污水工程在横穿</w:t>
      </w:r>
      <w:r>
        <w:rPr>
          <w:rFonts w:hint="eastAsia" w:ascii="宋体" w:hAnsi="宋体" w:cs="宋体"/>
          <w:color w:val="auto"/>
          <w:sz w:val="28"/>
          <w:szCs w:val="21"/>
          <w:lang w:val="en-US" w:eastAsia="zh-CN"/>
        </w:rPr>
        <w:t>河涌</w:t>
      </w:r>
      <w:r>
        <w:rPr>
          <w:rFonts w:hint="eastAsia" w:ascii="宋体" w:hAnsi="宋体" w:eastAsia="宋体" w:cs="宋体"/>
          <w:color w:val="auto"/>
          <w:sz w:val="28"/>
          <w:szCs w:val="21"/>
          <w:lang w:val="en-US" w:eastAsia="zh-CN"/>
        </w:rPr>
        <w:t>时采用倒虹管的方式通过，长度</w:t>
      </w:r>
      <w:r>
        <w:rPr>
          <w:rFonts w:hint="eastAsia" w:ascii="宋体" w:hAnsi="宋体" w:cs="宋体"/>
          <w:color w:val="auto"/>
          <w:sz w:val="28"/>
          <w:szCs w:val="21"/>
          <w:lang w:val="en-US" w:eastAsia="zh-CN"/>
        </w:rPr>
        <w:t>50</w:t>
      </w:r>
      <w:r>
        <w:rPr>
          <w:rFonts w:hint="eastAsia" w:ascii="宋体" w:hAnsi="宋体" w:eastAsia="宋体" w:cs="宋体"/>
          <w:color w:val="auto"/>
          <w:sz w:val="28"/>
          <w:szCs w:val="21"/>
          <w:lang w:val="en-US" w:eastAsia="zh-CN"/>
        </w:rPr>
        <w:t>米</w:t>
      </w:r>
      <w:r>
        <w:rPr>
          <w:rFonts w:hint="eastAsia" w:ascii="宋体" w:hAnsi="宋体" w:cs="宋体"/>
          <w:color w:val="auto"/>
          <w:sz w:val="28"/>
          <w:szCs w:val="21"/>
          <w:lang w:val="en-US" w:eastAsia="zh-CN"/>
        </w:rPr>
        <w:t>，倒虹管采用焊接钢管，双管并行</w:t>
      </w:r>
      <w:r>
        <w:rPr>
          <w:rFonts w:hint="eastAsia" w:ascii="宋体" w:hAnsi="宋体" w:eastAsia="宋体" w:cs="宋体"/>
          <w:color w:val="auto"/>
          <w:sz w:val="28"/>
          <w:szCs w:val="21"/>
          <w:lang w:val="en-US" w:eastAsia="zh-CN"/>
        </w:rPr>
        <w:t>。</w:t>
      </w:r>
    </w:p>
    <w:p>
      <w:pPr>
        <w:bidi w:val="0"/>
        <w:rPr>
          <w:rFonts w:hint="eastAsia" w:ascii="宋体" w:hAnsi="宋体" w:eastAsia="宋体" w:cs="宋体"/>
          <w:color w:val="auto"/>
          <w:sz w:val="28"/>
          <w:szCs w:val="21"/>
          <w:lang w:val="en-US" w:eastAsia="zh-CN"/>
        </w:rPr>
      </w:pPr>
      <w:r>
        <w:rPr>
          <w:rFonts w:hint="eastAsia" w:ascii="宋体" w:hAnsi="宋体" w:eastAsia="宋体" w:cs="宋体"/>
          <w:color w:val="auto"/>
          <w:sz w:val="28"/>
          <w:szCs w:val="21"/>
          <w:lang w:val="en-US" w:eastAsia="zh-CN"/>
        </w:rPr>
        <w:t>倒虹管上游管径为DN</w:t>
      </w:r>
      <w:r>
        <w:rPr>
          <w:rFonts w:hint="eastAsia" w:ascii="宋体" w:hAnsi="宋体" w:cs="宋体"/>
          <w:color w:val="auto"/>
          <w:sz w:val="28"/>
          <w:szCs w:val="21"/>
          <w:lang w:val="en-US" w:eastAsia="zh-CN"/>
        </w:rPr>
        <w:t>5</w:t>
      </w:r>
      <w:r>
        <w:rPr>
          <w:rFonts w:hint="eastAsia" w:ascii="宋体" w:hAnsi="宋体" w:eastAsia="宋体" w:cs="宋体"/>
          <w:color w:val="auto"/>
          <w:sz w:val="28"/>
          <w:szCs w:val="21"/>
          <w:lang w:val="en-US" w:eastAsia="zh-CN"/>
        </w:rPr>
        <w:t>00，设计坡度为</w:t>
      </w:r>
      <w:r>
        <w:rPr>
          <w:rFonts w:hint="eastAsia" w:ascii="宋体" w:hAnsi="宋体" w:cs="宋体"/>
          <w:color w:val="auto"/>
          <w:sz w:val="28"/>
          <w:szCs w:val="21"/>
          <w:lang w:val="en-US" w:eastAsia="zh-CN"/>
        </w:rPr>
        <w:t>4</w:t>
      </w:r>
      <w:r>
        <w:rPr>
          <w:rFonts w:hint="eastAsia" w:ascii="宋体" w:hAnsi="宋体" w:eastAsia="宋体" w:cs="宋体"/>
          <w:color w:val="auto"/>
          <w:sz w:val="28"/>
          <w:szCs w:val="21"/>
          <w:lang w:val="en-US" w:eastAsia="zh-CN"/>
        </w:rPr>
        <w:t>‰</w:t>
      </w:r>
      <w:r>
        <w:rPr>
          <w:rFonts w:hint="eastAsia" w:ascii="宋体" w:hAnsi="宋体" w:cs="宋体"/>
          <w:color w:val="auto"/>
          <w:sz w:val="28"/>
          <w:szCs w:val="21"/>
          <w:lang w:val="en-US" w:eastAsia="zh-CN"/>
        </w:rPr>
        <w:t>，规划</w:t>
      </w:r>
      <w:r>
        <w:rPr>
          <w:rFonts w:hint="eastAsia" w:ascii="宋体" w:hAnsi="宋体" w:eastAsia="宋体" w:cs="宋体"/>
          <w:color w:val="auto"/>
          <w:sz w:val="28"/>
          <w:szCs w:val="21"/>
          <w:lang w:val="en-US" w:eastAsia="zh-CN"/>
        </w:rPr>
        <w:t>流量为</w:t>
      </w:r>
      <w:r>
        <w:rPr>
          <w:rFonts w:hint="eastAsia" w:ascii="宋体" w:hAnsi="宋体" w:cs="宋体"/>
          <w:color w:val="auto"/>
          <w:sz w:val="28"/>
          <w:szCs w:val="21"/>
          <w:lang w:val="en-US" w:eastAsia="zh-CN"/>
        </w:rPr>
        <w:t>105.3</w:t>
      </w:r>
      <w:r>
        <w:rPr>
          <w:rFonts w:hint="eastAsia" w:ascii="宋体" w:hAnsi="宋体" w:eastAsia="宋体" w:cs="宋体"/>
          <w:color w:val="auto"/>
          <w:sz w:val="28"/>
          <w:szCs w:val="21"/>
          <w:lang w:val="en-US" w:eastAsia="zh-CN"/>
        </w:rPr>
        <w:t>L/s，流速为0.9m/s。该段倒虹管采用2</w:t>
      </w:r>
      <w:r>
        <w:rPr>
          <w:rFonts w:hint="eastAsia" w:ascii="宋体" w:hAnsi="宋体" w:cs="宋体"/>
          <w:color w:val="auto"/>
          <w:sz w:val="28"/>
          <w:szCs w:val="21"/>
          <w:lang w:val="en-US" w:eastAsia="zh-CN"/>
        </w:rPr>
        <w:t>根D426</w:t>
      </w:r>
      <w:r>
        <w:rPr>
          <w:rFonts w:hint="eastAsia" w:ascii="宋体" w:hAnsi="宋体" w:eastAsia="宋体" w:cs="宋体"/>
          <w:color w:val="auto"/>
          <w:sz w:val="28"/>
          <w:szCs w:val="21"/>
          <w:lang w:val="en-US" w:eastAsia="zh-CN"/>
        </w:rPr>
        <w:t>*9焊接钢管，通过</w:t>
      </w:r>
      <w:r>
        <w:rPr>
          <w:rFonts w:hint="eastAsia" w:ascii="宋体" w:hAnsi="宋体" w:cs="宋体"/>
          <w:color w:val="auto"/>
          <w:sz w:val="28"/>
          <w:szCs w:val="21"/>
          <w:lang w:val="en-US" w:eastAsia="zh-CN"/>
        </w:rPr>
        <w:t>闸</w:t>
      </w:r>
      <w:r>
        <w:rPr>
          <w:rFonts w:hint="eastAsia" w:ascii="宋体" w:hAnsi="宋体" w:eastAsia="宋体" w:cs="宋体"/>
          <w:color w:val="auto"/>
          <w:sz w:val="28"/>
          <w:szCs w:val="21"/>
          <w:lang w:val="en-US" w:eastAsia="zh-CN"/>
        </w:rPr>
        <w:t>门控制水流，</w:t>
      </w:r>
      <w:r>
        <w:rPr>
          <w:rFonts w:hint="eastAsia" w:ascii="宋体" w:hAnsi="宋体" w:cs="宋体"/>
          <w:color w:val="auto"/>
          <w:sz w:val="28"/>
          <w:szCs w:val="21"/>
          <w:lang w:val="en-US" w:eastAsia="zh-CN"/>
        </w:rPr>
        <w:t>一用一备</w:t>
      </w:r>
      <w:r>
        <w:rPr>
          <w:rFonts w:hint="eastAsia" w:ascii="宋体" w:hAnsi="宋体" w:eastAsia="宋体" w:cs="宋体"/>
          <w:color w:val="auto"/>
          <w:sz w:val="28"/>
          <w:szCs w:val="21"/>
          <w:lang w:val="en-US" w:eastAsia="zh-CN"/>
        </w:rPr>
        <w:t>。</w:t>
      </w:r>
    </w:p>
    <w:p>
      <w:pPr>
        <w:numPr>
          <w:ilvl w:val="0"/>
          <w:numId w:val="22"/>
        </w:numPr>
        <w:rPr>
          <w:rFonts w:hint="eastAsia" w:ascii="宋体" w:hAnsi="宋体" w:eastAsia="宋体" w:cs="宋体"/>
          <w:color w:val="auto"/>
          <w:sz w:val="28"/>
          <w:szCs w:val="21"/>
          <w:lang w:val="en-US" w:eastAsia="zh-CN"/>
        </w:rPr>
      </w:pPr>
      <w:r>
        <w:rPr>
          <w:rFonts w:hint="eastAsia" w:ascii="宋体" w:hAnsi="宋体" w:eastAsia="宋体" w:cs="宋体"/>
          <w:color w:val="auto"/>
          <w:sz w:val="28"/>
          <w:szCs w:val="21"/>
          <w:lang w:val="en-US" w:eastAsia="zh-CN"/>
        </w:rPr>
        <w:t>流速校核</w:t>
      </w:r>
    </w:p>
    <w:p>
      <w:pPr>
        <w:bidi w:val="0"/>
        <w:rPr>
          <w:rFonts w:hint="eastAsia" w:ascii="宋体" w:hAnsi="宋体" w:eastAsia="宋体" w:cs="宋体"/>
          <w:color w:val="auto"/>
          <w:sz w:val="28"/>
          <w:szCs w:val="21"/>
          <w:lang w:val="en-US" w:eastAsia="zh-CN"/>
        </w:rPr>
      </w:pPr>
      <w:r>
        <w:rPr>
          <w:rFonts w:hint="eastAsia" w:ascii="宋体" w:hAnsi="宋体" w:eastAsia="宋体" w:cs="宋体"/>
          <w:color w:val="auto"/>
          <w:sz w:val="28"/>
          <w:szCs w:val="21"/>
          <w:lang w:val="en-US" w:eastAsia="zh-CN"/>
        </w:rPr>
        <w:t>倒虹管流量Q=</w:t>
      </w:r>
      <w:r>
        <w:rPr>
          <w:rFonts w:hint="eastAsia" w:ascii="宋体" w:hAnsi="宋体" w:cs="宋体"/>
          <w:color w:val="auto"/>
          <w:sz w:val="28"/>
          <w:szCs w:val="21"/>
          <w:lang w:val="en-US" w:eastAsia="zh-CN"/>
        </w:rPr>
        <w:t>125.4</w:t>
      </w:r>
      <w:r>
        <w:rPr>
          <w:rFonts w:hint="eastAsia" w:ascii="宋体" w:hAnsi="宋体" w:eastAsia="宋体" w:cs="宋体"/>
          <w:color w:val="auto"/>
          <w:sz w:val="28"/>
          <w:szCs w:val="21"/>
          <w:lang w:val="en-US" w:eastAsia="zh-CN"/>
        </w:rPr>
        <w:t>L/s，满流计算：</w:t>
      </w:r>
    </w:p>
    <w:p>
      <w:pPr>
        <w:bidi w:val="0"/>
        <w:rPr>
          <w:rFonts w:hint="eastAsia" w:ascii="宋体" w:hAnsi="宋体" w:eastAsia="宋体" w:cs="宋体"/>
          <w:color w:val="auto"/>
          <w:sz w:val="28"/>
          <w:szCs w:val="21"/>
          <w:lang w:val="en-US" w:eastAsia="zh-CN"/>
        </w:rPr>
      </w:pPr>
      <w:r>
        <w:rPr>
          <w:rFonts w:hint="eastAsia" w:ascii="宋体" w:hAnsi="宋体" w:eastAsia="宋体" w:cs="宋体"/>
          <w:color w:val="auto"/>
          <w:sz w:val="28"/>
          <w:szCs w:val="21"/>
          <w:lang w:val="en-US" w:eastAsia="zh-CN"/>
        </w:rPr>
        <w:t>流速V=Q/A</w:t>
      </w:r>
    </w:p>
    <w:p>
      <w:pPr>
        <w:bidi w:val="0"/>
        <w:rPr>
          <w:rFonts w:hint="eastAsia" w:ascii="宋体" w:hAnsi="宋体" w:eastAsia="宋体" w:cs="宋体"/>
          <w:color w:val="auto"/>
          <w:sz w:val="28"/>
          <w:szCs w:val="21"/>
          <w:lang w:val="en-US" w:eastAsia="zh-CN"/>
        </w:rPr>
      </w:pPr>
      <w:r>
        <w:rPr>
          <w:rFonts w:hint="eastAsia" w:ascii="宋体" w:hAnsi="宋体" w:eastAsia="宋体" w:cs="宋体"/>
          <w:color w:val="auto"/>
          <w:sz w:val="28"/>
          <w:szCs w:val="21"/>
          <w:lang w:val="en-US" w:eastAsia="zh-CN"/>
        </w:rPr>
        <w:t>经计算得到倒虹管内流速V=1.</w:t>
      </w:r>
      <w:r>
        <w:rPr>
          <w:rFonts w:hint="eastAsia" w:ascii="宋体" w:hAnsi="宋体" w:cs="宋体"/>
          <w:color w:val="auto"/>
          <w:sz w:val="28"/>
          <w:szCs w:val="21"/>
          <w:lang w:val="en-US" w:eastAsia="zh-CN"/>
        </w:rPr>
        <w:t>13</w:t>
      </w:r>
      <w:r>
        <w:rPr>
          <w:rFonts w:hint="eastAsia" w:ascii="宋体" w:hAnsi="宋体" w:eastAsia="宋体" w:cs="宋体"/>
          <w:color w:val="auto"/>
          <w:sz w:val="28"/>
          <w:szCs w:val="21"/>
          <w:lang w:val="en-US" w:eastAsia="zh-CN"/>
        </w:rPr>
        <w:t>m/s&gt;0.9m/s（倒虹管最小设计流速）</w:t>
      </w:r>
    </w:p>
    <w:p>
      <w:pPr>
        <w:bidi w:val="0"/>
        <w:rPr>
          <w:rFonts w:hint="eastAsia" w:ascii="宋体" w:hAnsi="宋体" w:eastAsia="宋体" w:cs="宋体"/>
          <w:color w:val="auto"/>
          <w:sz w:val="28"/>
          <w:szCs w:val="21"/>
          <w:lang w:val="en-US" w:eastAsia="zh-CN"/>
        </w:rPr>
      </w:pPr>
      <w:r>
        <w:rPr>
          <w:rFonts w:hint="eastAsia" w:ascii="宋体" w:hAnsi="宋体" w:eastAsia="宋体" w:cs="宋体"/>
          <w:color w:val="auto"/>
          <w:sz w:val="28"/>
          <w:szCs w:val="21"/>
          <w:lang w:val="en-US" w:eastAsia="zh-CN"/>
        </w:rPr>
        <w:t>同时1.</w:t>
      </w:r>
      <w:r>
        <w:rPr>
          <w:rFonts w:hint="eastAsia" w:ascii="宋体" w:hAnsi="宋体" w:cs="宋体"/>
          <w:color w:val="auto"/>
          <w:sz w:val="28"/>
          <w:szCs w:val="21"/>
          <w:lang w:val="en-US" w:eastAsia="zh-CN"/>
        </w:rPr>
        <w:t>13</w:t>
      </w:r>
      <w:r>
        <w:rPr>
          <w:rFonts w:hint="eastAsia" w:ascii="宋体" w:hAnsi="宋体" w:eastAsia="宋体" w:cs="宋体"/>
          <w:color w:val="auto"/>
          <w:sz w:val="28"/>
          <w:szCs w:val="21"/>
          <w:lang w:val="en-US" w:eastAsia="zh-CN"/>
        </w:rPr>
        <w:t>m/s&gt;0.9</w:t>
      </w:r>
      <w:r>
        <w:rPr>
          <w:rFonts w:hint="eastAsia" w:ascii="宋体" w:hAnsi="宋体" w:cs="宋体"/>
          <w:color w:val="auto"/>
          <w:sz w:val="28"/>
          <w:szCs w:val="21"/>
          <w:lang w:val="en-US" w:eastAsia="zh-CN"/>
        </w:rPr>
        <w:t xml:space="preserve">4 </w:t>
      </w:r>
      <w:r>
        <w:rPr>
          <w:rFonts w:hint="eastAsia" w:ascii="宋体" w:hAnsi="宋体" w:eastAsia="宋体" w:cs="宋体"/>
          <w:color w:val="auto"/>
          <w:sz w:val="28"/>
          <w:szCs w:val="21"/>
          <w:lang w:val="en-US" w:eastAsia="zh-CN"/>
        </w:rPr>
        <w:t>m/s（进水管流速），故倒虹管设计流速满足规范要求。</w:t>
      </w:r>
    </w:p>
    <w:p>
      <w:pPr>
        <w:numPr>
          <w:ilvl w:val="0"/>
          <w:numId w:val="22"/>
        </w:numPr>
        <w:bidi w:val="0"/>
        <w:ind w:left="0" w:leftChars="0" w:firstLine="564" w:firstLineChars="200"/>
        <w:rPr>
          <w:rFonts w:hint="eastAsia" w:ascii="宋体" w:hAnsi="宋体" w:eastAsia="宋体" w:cs="宋体"/>
          <w:color w:val="auto"/>
          <w:sz w:val="28"/>
          <w:szCs w:val="21"/>
          <w:lang w:val="en-US" w:eastAsia="zh-CN"/>
        </w:rPr>
      </w:pPr>
      <w:r>
        <w:rPr>
          <w:rFonts w:hint="eastAsia" w:ascii="宋体" w:hAnsi="宋体" w:eastAsia="宋体" w:cs="宋体"/>
          <w:color w:val="auto"/>
          <w:sz w:val="28"/>
          <w:szCs w:val="21"/>
          <w:lang w:val="en-US" w:eastAsia="zh-CN"/>
        </w:rPr>
        <w:t>水头校核</w:t>
      </w:r>
    </w:p>
    <w:p>
      <w:pPr>
        <w:numPr>
          <w:ilvl w:val="0"/>
          <w:numId w:val="0"/>
        </w:numPr>
        <w:bidi w:val="0"/>
        <w:ind w:leftChars="200"/>
        <w:rPr>
          <w:rFonts w:hint="default" w:ascii="宋体" w:hAnsi="宋体" w:eastAsia="宋体" w:cs="宋体"/>
          <w:color w:val="auto"/>
          <w:sz w:val="28"/>
          <w:szCs w:val="21"/>
          <w:lang w:val="en-US" w:eastAsia="zh-CN"/>
        </w:rPr>
      </w:pPr>
      <w:r>
        <w:rPr>
          <w:rFonts w:hint="eastAsia" w:ascii="宋体" w:hAnsi="宋体" w:cs="宋体"/>
          <w:color w:val="auto"/>
          <w:sz w:val="28"/>
          <w:szCs w:val="21"/>
          <w:lang w:val="en-US" w:eastAsia="zh-CN"/>
        </w:rPr>
        <w:t>D426</w:t>
      </w:r>
      <w:r>
        <w:rPr>
          <w:rFonts w:hint="eastAsia" w:ascii="宋体" w:hAnsi="宋体" w:eastAsia="宋体" w:cs="宋体"/>
          <w:color w:val="auto"/>
          <w:sz w:val="28"/>
          <w:szCs w:val="21"/>
          <w:lang w:val="en-US" w:eastAsia="zh-CN"/>
        </w:rPr>
        <w:t>*9焊接钢管满流管单位沿程损失为每米损失0.0067米压力。</w:t>
      </w:r>
    </w:p>
    <w:p>
      <w:pPr>
        <w:numPr>
          <w:ilvl w:val="0"/>
          <w:numId w:val="0"/>
        </w:numPr>
        <w:bidi w:val="0"/>
        <w:ind w:leftChars="200"/>
        <w:rPr>
          <w:rFonts w:hint="eastAsia" w:ascii="宋体" w:hAnsi="宋体" w:eastAsia="宋体" w:cs="宋体"/>
          <w:color w:val="auto"/>
          <w:sz w:val="28"/>
          <w:szCs w:val="21"/>
          <w:lang w:val="en-US" w:eastAsia="zh-CN"/>
        </w:rPr>
      </w:pPr>
      <w:r>
        <w:rPr>
          <w:rFonts w:hint="eastAsia" w:ascii="宋体" w:hAnsi="宋体" w:eastAsia="宋体" w:cs="宋体"/>
          <w:color w:val="auto"/>
          <w:sz w:val="28"/>
          <w:szCs w:val="21"/>
          <w:lang w:val="en-US" w:eastAsia="zh-CN"/>
        </w:rPr>
        <w:t>沿程水头损失h</w:t>
      </w:r>
      <w:r>
        <w:rPr>
          <w:rFonts w:hint="eastAsia" w:ascii="宋体" w:hAnsi="宋体" w:eastAsia="宋体" w:cs="宋体"/>
          <w:color w:val="auto"/>
          <w:sz w:val="24"/>
          <w:szCs w:val="20"/>
          <w:lang w:val="en-US" w:eastAsia="zh-CN"/>
        </w:rPr>
        <w:t>1</w:t>
      </w:r>
      <w:r>
        <w:rPr>
          <w:rFonts w:hint="eastAsia" w:ascii="宋体" w:hAnsi="宋体" w:eastAsia="宋体" w:cs="宋体"/>
          <w:color w:val="auto"/>
          <w:sz w:val="28"/>
          <w:szCs w:val="21"/>
          <w:lang w:val="en-US" w:eastAsia="zh-CN"/>
        </w:rPr>
        <w:t>=i*L=0.00</w:t>
      </w:r>
      <w:r>
        <w:rPr>
          <w:rFonts w:hint="eastAsia" w:ascii="宋体" w:hAnsi="宋体" w:cs="宋体"/>
          <w:color w:val="auto"/>
          <w:sz w:val="28"/>
          <w:szCs w:val="21"/>
          <w:lang w:val="en-US" w:eastAsia="zh-CN"/>
        </w:rPr>
        <w:t>67</w:t>
      </w:r>
      <w:r>
        <w:rPr>
          <w:rFonts w:hint="eastAsia" w:ascii="宋体" w:hAnsi="宋体" w:eastAsia="宋体" w:cs="宋体"/>
          <w:color w:val="auto"/>
          <w:sz w:val="28"/>
          <w:szCs w:val="21"/>
          <w:lang w:val="en-US" w:eastAsia="zh-CN"/>
        </w:rPr>
        <w:t>*</w:t>
      </w:r>
      <w:r>
        <w:rPr>
          <w:rFonts w:hint="eastAsia" w:ascii="宋体" w:hAnsi="宋体" w:cs="宋体"/>
          <w:color w:val="auto"/>
          <w:sz w:val="28"/>
          <w:szCs w:val="21"/>
          <w:lang w:val="en-US" w:eastAsia="zh-CN"/>
        </w:rPr>
        <w:t>50</w:t>
      </w:r>
      <w:r>
        <w:rPr>
          <w:rFonts w:hint="eastAsia" w:ascii="宋体" w:hAnsi="宋体" w:eastAsia="宋体" w:cs="宋体"/>
          <w:color w:val="auto"/>
          <w:sz w:val="28"/>
          <w:szCs w:val="21"/>
          <w:lang w:val="en-US" w:eastAsia="zh-CN"/>
        </w:rPr>
        <w:t>=0.</w:t>
      </w:r>
      <w:r>
        <w:rPr>
          <w:rFonts w:hint="eastAsia" w:ascii="宋体" w:hAnsi="宋体" w:cs="宋体"/>
          <w:color w:val="auto"/>
          <w:sz w:val="28"/>
          <w:szCs w:val="21"/>
          <w:lang w:val="en-US" w:eastAsia="zh-CN"/>
        </w:rPr>
        <w:t>335</w:t>
      </w:r>
      <w:r>
        <w:rPr>
          <w:rFonts w:hint="eastAsia" w:ascii="宋体" w:hAnsi="宋体" w:eastAsia="宋体" w:cs="宋体"/>
          <w:color w:val="auto"/>
          <w:sz w:val="28"/>
          <w:szCs w:val="21"/>
          <w:lang w:val="en-US" w:eastAsia="zh-CN"/>
        </w:rPr>
        <w:t>m</w:t>
      </w:r>
    </w:p>
    <w:p>
      <w:pPr>
        <w:numPr>
          <w:ilvl w:val="0"/>
          <w:numId w:val="0"/>
        </w:numPr>
        <w:bidi w:val="0"/>
        <w:ind w:leftChars="200"/>
        <w:rPr>
          <w:rFonts w:hint="eastAsia" w:ascii="宋体" w:hAnsi="宋体" w:eastAsia="宋体" w:cs="宋体"/>
          <w:color w:val="auto"/>
          <w:sz w:val="28"/>
          <w:szCs w:val="21"/>
          <w:lang w:val="en-US" w:eastAsia="zh-CN"/>
        </w:rPr>
      </w:pPr>
      <w:r>
        <w:rPr>
          <w:rFonts w:hint="eastAsia" w:ascii="宋体" w:hAnsi="宋体" w:cs="宋体"/>
          <w:color w:val="auto"/>
          <w:sz w:val="28"/>
          <w:szCs w:val="21"/>
          <w:lang w:val="en-US" w:eastAsia="zh-CN"/>
        </w:rPr>
        <w:t>i</w:t>
      </w:r>
      <w:r>
        <w:rPr>
          <w:rFonts w:hint="eastAsia" w:ascii="宋体" w:hAnsi="宋体" w:eastAsia="宋体" w:cs="宋体"/>
          <w:color w:val="auto"/>
          <w:sz w:val="28"/>
          <w:szCs w:val="21"/>
          <w:lang w:val="en-US" w:eastAsia="zh-CN"/>
        </w:rPr>
        <w:t>=水力陂降</w:t>
      </w:r>
    </w:p>
    <w:p>
      <w:pPr>
        <w:numPr>
          <w:ilvl w:val="0"/>
          <w:numId w:val="0"/>
        </w:numPr>
        <w:bidi w:val="0"/>
        <w:ind w:leftChars="200"/>
        <w:rPr>
          <w:rFonts w:hint="eastAsia" w:ascii="宋体" w:hAnsi="宋体" w:eastAsia="宋体" w:cs="宋体"/>
          <w:color w:val="auto"/>
          <w:sz w:val="28"/>
          <w:szCs w:val="21"/>
          <w:lang w:val="en-US" w:eastAsia="zh-CN"/>
        </w:rPr>
      </w:pPr>
      <w:r>
        <w:rPr>
          <w:rFonts w:hint="eastAsia" w:ascii="宋体" w:hAnsi="宋体" w:eastAsia="宋体" w:cs="宋体"/>
          <w:color w:val="auto"/>
          <w:sz w:val="28"/>
          <w:szCs w:val="21"/>
          <w:lang w:val="en-US" w:eastAsia="zh-CN"/>
        </w:rPr>
        <w:t>L=倒虹管长度（m）</w:t>
      </w:r>
    </w:p>
    <w:p>
      <w:pPr>
        <w:numPr>
          <w:ilvl w:val="0"/>
          <w:numId w:val="0"/>
        </w:numPr>
        <w:bidi w:val="0"/>
        <w:ind w:leftChars="200"/>
        <w:rPr>
          <w:rFonts w:hint="eastAsia" w:ascii="宋体" w:hAnsi="宋体" w:eastAsia="宋体" w:cs="宋体"/>
          <w:color w:val="auto"/>
          <w:sz w:val="28"/>
          <w:szCs w:val="21"/>
          <w:lang w:val="en-US" w:eastAsia="zh-CN"/>
        </w:rPr>
      </w:pPr>
      <w:r>
        <w:rPr>
          <w:rFonts w:hint="eastAsia" w:ascii="宋体" w:hAnsi="宋体" w:eastAsia="宋体" w:cs="宋体"/>
          <w:color w:val="auto"/>
          <w:sz w:val="28"/>
          <w:szCs w:val="21"/>
          <w:lang w:val="en-US" w:eastAsia="zh-CN"/>
        </w:rPr>
        <w:t>进、出口水头损失取沿程水头损失10%</w:t>
      </w:r>
    </w:p>
    <w:p>
      <w:pPr>
        <w:numPr>
          <w:ilvl w:val="0"/>
          <w:numId w:val="0"/>
        </w:numPr>
        <w:bidi w:val="0"/>
        <w:ind w:leftChars="200"/>
        <w:rPr>
          <w:rFonts w:hint="default" w:ascii="宋体" w:hAnsi="宋体" w:eastAsia="宋体" w:cs="宋体"/>
          <w:color w:val="auto"/>
          <w:sz w:val="28"/>
          <w:szCs w:val="21"/>
          <w:lang w:val="en-US" w:eastAsia="zh-CN"/>
        </w:rPr>
      </w:pPr>
      <w:r>
        <w:rPr>
          <w:rFonts w:hint="eastAsia" w:ascii="宋体" w:hAnsi="宋体" w:cs="宋体"/>
          <w:color w:val="auto"/>
          <w:sz w:val="24"/>
          <w:szCs w:val="20"/>
          <w:lang w:val="en-US" w:eastAsia="zh-CN"/>
        </w:rPr>
        <w:t>总水头损失</w:t>
      </w:r>
      <w:r>
        <w:rPr>
          <w:rFonts w:hint="eastAsia" w:ascii="宋体" w:hAnsi="宋体" w:eastAsia="宋体" w:cs="宋体"/>
          <w:color w:val="auto"/>
          <w:sz w:val="28"/>
          <w:szCs w:val="21"/>
          <w:lang w:val="en-US" w:eastAsia="zh-CN"/>
        </w:rPr>
        <w:t>H=</w:t>
      </w:r>
      <w:r>
        <w:rPr>
          <w:rFonts w:hint="eastAsia" w:ascii="宋体" w:hAnsi="宋体" w:cs="宋体"/>
          <w:color w:val="auto"/>
          <w:sz w:val="28"/>
          <w:szCs w:val="21"/>
          <w:lang w:val="en-US" w:eastAsia="zh-CN"/>
        </w:rPr>
        <w:t>0.335</w:t>
      </w:r>
      <w:r>
        <w:rPr>
          <w:rFonts w:hint="eastAsia" w:ascii="宋体" w:hAnsi="宋体" w:eastAsia="宋体" w:cs="宋体"/>
          <w:color w:val="auto"/>
          <w:sz w:val="28"/>
          <w:szCs w:val="21"/>
          <w:lang w:val="en-US" w:eastAsia="zh-CN"/>
        </w:rPr>
        <w:t>*</w:t>
      </w:r>
      <w:r>
        <w:rPr>
          <w:rFonts w:hint="eastAsia" w:ascii="宋体" w:hAnsi="宋体" w:cs="宋体"/>
          <w:color w:val="auto"/>
          <w:sz w:val="28"/>
          <w:szCs w:val="21"/>
          <w:lang w:val="en-US" w:eastAsia="zh-CN"/>
        </w:rPr>
        <w:t>1</w:t>
      </w:r>
      <w:r>
        <w:rPr>
          <w:rFonts w:hint="eastAsia" w:ascii="宋体" w:hAnsi="宋体" w:eastAsia="宋体" w:cs="宋体"/>
          <w:color w:val="auto"/>
          <w:sz w:val="28"/>
          <w:szCs w:val="21"/>
          <w:lang w:val="en-US" w:eastAsia="zh-CN"/>
        </w:rPr>
        <w:t>.1=</w:t>
      </w:r>
      <w:r>
        <w:rPr>
          <w:rFonts w:hint="eastAsia" w:ascii="宋体" w:hAnsi="宋体" w:cs="宋体"/>
          <w:color w:val="auto"/>
          <w:sz w:val="28"/>
          <w:szCs w:val="21"/>
          <w:lang w:val="en-US" w:eastAsia="zh-CN"/>
        </w:rPr>
        <w:t>0.367m</w:t>
      </w:r>
    </w:p>
    <w:p>
      <w:pPr>
        <w:keepNext w:val="0"/>
        <w:keepLines w:val="0"/>
        <w:pageBreakBefore w:val="0"/>
        <w:widowControl w:val="0"/>
        <w:numPr>
          <w:ilvl w:val="0"/>
          <w:numId w:val="0"/>
        </w:numPr>
        <w:kinsoku/>
        <w:wordWrap/>
        <w:overflowPunct/>
        <w:topLinePunct w:val="0"/>
        <w:autoSpaceDE/>
        <w:autoSpaceDN/>
        <w:bidi w:val="0"/>
        <w:adjustRightInd/>
        <w:snapToGrid/>
        <w:ind w:leftChars="0" w:firstLine="564" w:firstLineChars="200"/>
        <w:textAlignment w:val="auto"/>
        <w:rPr>
          <w:rFonts w:hint="eastAsia" w:eastAsia="宋体"/>
          <w:color w:val="auto"/>
          <w:sz w:val="28"/>
          <w:szCs w:val="18"/>
          <w:highlight w:val="none"/>
          <w:lang w:val="en-US" w:eastAsia="zh-CN"/>
        </w:rPr>
      </w:pPr>
      <w:r>
        <w:rPr>
          <w:rFonts w:hint="eastAsia" w:ascii="宋体" w:hAnsi="宋体" w:eastAsia="宋体" w:cs="宋体"/>
          <w:color w:val="auto"/>
          <w:sz w:val="28"/>
          <w:szCs w:val="21"/>
          <w:lang w:val="en-US" w:eastAsia="zh-CN"/>
        </w:rPr>
        <w:t>倒虹管段进</w:t>
      </w:r>
      <w:r>
        <w:rPr>
          <w:rFonts w:hint="eastAsia" w:ascii="宋体" w:hAnsi="宋体" w:cs="宋体"/>
          <w:color w:val="auto"/>
          <w:sz w:val="28"/>
          <w:szCs w:val="21"/>
          <w:lang w:val="en-US" w:eastAsia="zh-CN"/>
        </w:rPr>
        <w:t>出</w:t>
      </w:r>
      <w:r>
        <w:rPr>
          <w:rFonts w:hint="eastAsia" w:ascii="宋体" w:hAnsi="宋体" w:eastAsia="宋体" w:cs="宋体"/>
          <w:color w:val="auto"/>
          <w:sz w:val="28"/>
          <w:szCs w:val="21"/>
          <w:lang w:val="en-US" w:eastAsia="zh-CN"/>
        </w:rPr>
        <w:t>水口标高</w:t>
      </w:r>
      <w:r>
        <w:rPr>
          <w:rFonts w:hint="eastAsia" w:ascii="宋体" w:hAnsi="宋体" w:cs="宋体"/>
          <w:color w:val="auto"/>
          <w:sz w:val="28"/>
          <w:szCs w:val="21"/>
          <w:lang w:val="en-US" w:eastAsia="zh-CN"/>
        </w:rPr>
        <w:t>高差为0.5m</w:t>
      </w:r>
      <w:r>
        <w:rPr>
          <w:rFonts w:hint="eastAsia" w:ascii="宋体" w:hAnsi="宋体" w:eastAsia="宋体" w:cs="宋体"/>
          <w:color w:val="auto"/>
          <w:sz w:val="28"/>
          <w:szCs w:val="21"/>
          <w:lang w:val="en-US" w:eastAsia="zh-CN"/>
        </w:rPr>
        <w:t>，高差为</w:t>
      </w:r>
      <w:r>
        <w:rPr>
          <w:rFonts w:hint="eastAsia" w:ascii="宋体" w:hAnsi="宋体" w:cs="宋体"/>
          <w:color w:val="auto"/>
          <w:sz w:val="28"/>
          <w:szCs w:val="21"/>
          <w:lang w:val="en-US" w:eastAsia="zh-CN"/>
        </w:rPr>
        <w:t>0.5m</w:t>
      </w:r>
      <w:r>
        <w:rPr>
          <w:rFonts w:hint="eastAsia" w:ascii="宋体" w:hAnsi="宋体" w:eastAsia="宋体" w:cs="宋体"/>
          <w:color w:val="auto"/>
          <w:sz w:val="28"/>
          <w:szCs w:val="21"/>
          <w:lang w:val="en-US" w:eastAsia="zh-CN"/>
        </w:rPr>
        <w:t>&gt;</w:t>
      </w:r>
      <w:r>
        <w:rPr>
          <w:rFonts w:hint="eastAsia" w:ascii="宋体" w:hAnsi="宋体" w:cs="宋体"/>
          <w:color w:val="auto"/>
          <w:sz w:val="28"/>
          <w:szCs w:val="21"/>
          <w:lang w:val="en-US" w:eastAsia="zh-CN"/>
        </w:rPr>
        <w:t>0.367</w:t>
      </w:r>
      <w:r>
        <w:rPr>
          <w:rFonts w:hint="eastAsia" w:ascii="宋体" w:hAnsi="宋体" w:eastAsia="宋体" w:cs="宋体"/>
          <w:color w:val="auto"/>
          <w:sz w:val="28"/>
          <w:szCs w:val="21"/>
          <w:lang w:val="en-US" w:eastAsia="zh-CN"/>
        </w:rPr>
        <w:t>m，</w:t>
      </w:r>
      <w:r>
        <w:rPr>
          <w:rFonts w:hint="eastAsia" w:ascii="宋体" w:hAnsi="宋体" w:cs="宋体"/>
          <w:color w:val="auto"/>
          <w:sz w:val="28"/>
          <w:szCs w:val="21"/>
          <w:lang w:val="en-US" w:eastAsia="zh-CN"/>
        </w:rPr>
        <w:t>倒虹管水头</w:t>
      </w:r>
      <w:r>
        <w:rPr>
          <w:rFonts w:hint="eastAsia" w:ascii="宋体" w:hAnsi="宋体" w:eastAsia="宋体" w:cs="宋体"/>
          <w:color w:val="auto"/>
          <w:sz w:val="28"/>
          <w:szCs w:val="21"/>
          <w:lang w:val="en-US" w:eastAsia="zh-CN"/>
        </w:rPr>
        <w:t>满足要求。</w:t>
      </w:r>
    </w:p>
    <w:p>
      <w:pPr>
        <w:pStyle w:val="39"/>
        <w:keepLines w:val="0"/>
        <w:pageBreakBefore w:val="0"/>
        <w:widowControl w:val="0"/>
        <w:numPr>
          <w:ilvl w:val="1"/>
          <w:numId w:val="9"/>
        </w:numPr>
        <w:kinsoku/>
        <w:wordWrap/>
        <w:overflowPunct/>
        <w:topLinePunct w:val="0"/>
        <w:autoSpaceDE/>
        <w:autoSpaceDN/>
        <w:bidi w:val="0"/>
        <w:adjustRightInd/>
        <w:snapToGrid/>
        <w:textAlignment w:val="auto"/>
        <w:rPr>
          <w:rFonts w:hint="eastAsia"/>
          <w:color w:val="auto"/>
          <w:lang w:val="en-US" w:eastAsia="zh-CN"/>
        </w:rPr>
      </w:pPr>
      <w:bookmarkStart w:id="51" w:name="_Toc4273"/>
      <w:r>
        <w:rPr>
          <w:rFonts w:hint="eastAsia"/>
          <w:color w:val="auto"/>
          <w:lang w:val="en-US" w:eastAsia="zh-CN"/>
        </w:rPr>
        <w:t>雨水管道方案</w:t>
      </w:r>
      <w:bookmarkEnd w:id="51"/>
    </w:p>
    <w:p>
      <w:pPr>
        <w:pStyle w:val="40"/>
        <w:numPr>
          <w:ilvl w:val="2"/>
          <w:numId w:val="9"/>
        </w:numPr>
        <w:bidi w:val="0"/>
        <w:rPr>
          <w:rFonts w:hint="eastAsia"/>
          <w:color w:val="auto"/>
          <w:lang w:eastAsia="zh-CN"/>
        </w:rPr>
      </w:pPr>
      <w:r>
        <w:rPr>
          <w:rFonts w:hint="eastAsia"/>
          <w:color w:val="auto"/>
          <w:lang w:eastAsia="zh-CN"/>
        </w:rPr>
        <w:t>暴雨强度公式</w:t>
      </w:r>
    </w:p>
    <w:p>
      <w:pPr>
        <w:kinsoku/>
        <w:wordWrap/>
        <w:overflowPunct/>
        <w:topLinePunct w:val="0"/>
        <w:bidi w:val="0"/>
        <w:adjustRightInd w:val="0"/>
        <w:snapToGrid w:val="0"/>
        <w:spacing w:line="360" w:lineRule="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●根据《室外排水设计标准 GB50014-2021》4.1.9条，暴雨强度公式：</w:t>
      </w:r>
    </w:p>
    <w:p>
      <w:pPr>
        <w:kinsoku/>
        <w:wordWrap/>
        <w:overflowPunct/>
        <w:topLinePunct w:val="0"/>
        <w:bidi w:val="0"/>
        <w:adjustRightInd w:val="0"/>
        <w:snapToGrid w:val="0"/>
        <w:spacing w:line="360" w:lineRule="auto"/>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position w:val="-28"/>
          <w:lang w:val="en-US" w:eastAsia="zh-CN"/>
        </w:rPr>
        <w:object>
          <v:shape id="_x0000_i1025" o:spt="75" type="#_x0000_t75" style="height:33pt;width:100pt;" o:ole="t" filled="f" o:preferrelative="t" stroked="f" coordsize="21600,21600">
            <v:path/>
            <v:fill on="f" focussize="0,0"/>
            <v:stroke on="f"/>
            <v:imagedata r:id="rId67" o:title=""/>
            <o:lock v:ext="edit" aspectratio="t"/>
            <w10:wrap type="none"/>
            <w10:anchorlock/>
          </v:shape>
          <o:OLEObject Type="Embed" ProgID="Equation.KSEE3" ShapeID="_x0000_i1025" DrawAspect="Content" ObjectID="_1468075725" r:id="rId66">
            <o:LockedField>false</o:LockedField>
          </o:OLEObject>
        </w:object>
      </w:r>
    </w:p>
    <w:p>
      <w:pPr>
        <w:pStyle w:val="36"/>
        <w:rPr>
          <w:rFonts w:hint="eastAsia"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式中：q</w:t>
      </w:r>
      <w:r>
        <w:rPr>
          <w:rFonts w:hint="eastAsia" w:ascii="Times New Roman" w:hAnsi="Times New Roman" w:eastAsia="宋体" w:cs="Times New Roman"/>
          <w:color w:val="auto"/>
          <w:lang w:val="en-US" w:eastAsia="zh-CN"/>
        </w:rPr>
        <w:t>—设计暴雨强度（升/秒·公顷）</w:t>
      </w:r>
    </w:p>
    <w:p>
      <w:pPr>
        <w:pStyle w:val="36"/>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 xml:space="preserve">      P</w:t>
      </w:r>
      <w:r>
        <w:rPr>
          <w:rFonts w:hint="eastAsia" w:ascii="Times New Roman" w:hAnsi="Times New Roman" w:eastAsia="宋体" w:cs="Times New Roman"/>
          <w:color w:val="auto"/>
          <w:lang w:val="en-US" w:eastAsia="zh-CN"/>
        </w:rPr>
        <w:t>—</w:t>
      </w:r>
      <w:r>
        <w:rPr>
          <w:rFonts w:hint="eastAsia" w:ascii="Times New Roman" w:hAnsi="Times New Roman" w:cs="Times New Roman"/>
          <w:color w:val="auto"/>
          <w:lang w:val="en-US" w:eastAsia="zh-CN"/>
        </w:rPr>
        <w:t>设计重现期（年）</w:t>
      </w:r>
    </w:p>
    <w:p>
      <w:pPr>
        <w:pStyle w:val="36"/>
        <w:rPr>
          <w:rFonts w:hint="eastAsia"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 xml:space="preserve">      </w:t>
      </w:r>
      <w:r>
        <w:rPr>
          <w:rFonts w:hint="eastAsia" w:ascii="Times New Roman" w:hAnsi="Times New Roman" w:eastAsia="宋体" w:cs="Times New Roman"/>
          <w:color w:val="auto"/>
          <w:lang w:val="en-US" w:eastAsia="zh-CN"/>
        </w:rPr>
        <w:t>t—降雨历时（分钟）</w:t>
      </w:r>
    </w:p>
    <w:p>
      <w:pPr>
        <w:pStyle w:val="36"/>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A</w:t>
      </w:r>
      <w:r>
        <w:rPr>
          <w:rFonts w:hint="eastAsia" w:ascii="Times New Roman" w:hAnsi="Times New Roman" w:cs="Times New Roman"/>
          <w:color w:val="auto"/>
          <w:spacing w:val="11"/>
          <w:sz w:val="24"/>
          <w:vertAlign w:val="subscript"/>
          <w:lang w:val="en-US" w:eastAsia="zh-CN"/>
        </w:rPr>
        <w:t>1</w:t>
      </w:r>
      <w:r>
        <w:rPr>
          <w:rFonts w:hint="eastAsia" w:ascii="Times New Roman" w:hAnsi="Times New Roman" w:cs="Times New Roman"/>
          <w:color w:val="auto"/>
          <w:lang w:val="en-US" w:eastAsia="zh-CN"/>
        </w:rPr>
        <w:t>，C，b，n</w:t>
      </w:r>
      <w:r>
        <w:rPr>
          <w:rFonts w:hint="eastAsia" w:ascii="Times New Roman" w:hAnsi="Times New Roman" w:eastAsia="宋体" w:cs="Times New Roman"/>
          <w:color w:val="auto"/>
          <w:lang w:val="en-US" w:eastAsia="zh-CN"/>
        </w:rPr>
        <w:t>—</w:t>
      </w:r>
      <w:r>
        <w:rPr>
          <w:rFonts w:hint="eastAsia" w:ascii="Times New Roman" w:hAnsi="Times New Roman" w:cs="Times New Roman"/>
          <w:color w:val="auto"/>
          <w:lang w:val="en-US" w:eastAsia="zh-CN"/>
        </w:rPr>
        <w:t>参数，根据统计方法进行计算确定</w:t>
      </w:r>
    </w:p>
    <w:p>
      <w:pPr>
        <w:kinsoku/>
        <w:wordWrap/>
        <w:overflowPunct/>
        <w:topLinePunct w:val="0"/>
        <w:bidi w:val="0"/>
        <w:adjustRightInd w:val="0"/>
        <w:snapToGrid w:val="0"/>
        <w:spacing w:line="360" w:lineRule="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●根据</w:t>
      </w:r>
      <w:r>
        <w:rPr>
          <w:rFonts w:hint="eastAsia" w:cs="Times New Roman"/>
          <w:color w:val="auto"/>
          <w:highlight w:val="none"/>
          <w:lang w:val="en-US" w:eastAsia="zh-CN"/>
        </w:rPr>
        <w:t>2022年12月发布的</w:t>
      </w:r>
      <w:r>
        <w:rPr>
          <w:rFonts w:hint="eastAsia" w:ascii="Times New Roman" w:hAnsi="Times New Roman" w:eastAsia="宋体" w:cs="Times New Roman"/>
          <w:color w:val="auto"/>
          <w:highlight w:val="none"/>
          <w:lang w:val="en-US" w:eastAsia="zh-CN"/>
        </w:rPr>
        <w:t>《广州市暴雨强度公式编制与设计暴雨雨型研究技术报告》建议，</w:t>
      </w:r>
      <w:r>
        <w:rPr>
          <w:rFonts w:hint="eastAsia" w:cs="Times New Roman"/>
          <w:color w:val="auto"/>
          <w:highlight w:val="none"/>
          <w:lang w:val="en-US" w:eastAsia="zh-CN"/>
        </w:rPr>
        <w:t>“</w:t>
      </w:r>
      <w:r>
        <w:rPr>
          <w:rFonts w:hint="eastAsia" w:ascii="Times New Roman" w:hAnsi="Times New Roman" w:eastAsia="宋体" w:cs="Times New Roman"/>
          <w:color w:val="auto"/>
          <w:highlight w:val="none"/>
          <w:lang w:val="en-US" w:eastAsia="zh-CN"/>
        </w:rPr>
        <w:t>近40 年资料编制的公式一方面样本资料的年限足够长，有较好的代表性，满足《城市暴雨强度公式编制和设计暴雨雨型确定技术导则》中“暴雨强度公式编制采用的年最大值法基础资料年限至少需要 30 年以上”的要求</w:t>
      </w:r>
      <w:r>
        <w:rPr>
          <w:rFonts w:hint="eastAsia" w:cs="Times New Roman"/>
          <w:color w:val="auto"/>
          <w:highlight w:val="none"/>
          <w:lang w:val="en-US" w:eastAsia="zh-CN"/>
        </w:rPr>
        <w:t>；</w:t>
      </w:r>
      <w:r>
        <w:rPr>
          <w:rFonts w:hint="eastAsia" w:ascii="Times New Roman" w:hAnsi="Times New Roman" w:eastAsia="宋体" w:cs="Times New Roman"/>
          <w:color w:val="auto"/>
          <w:highlight w:val="none"/>
          <w:lang w:val="en-US" w:eastAsia="zh-CN"/>
        </w:rPr>
        <w:t>另一方面近 40 年降雨资料能较好地体现强降雨近年来逐渐增强的趋势特征并兼顾未来演变规律。因此推荐采用近 40 年资料编制的暴雨强度公式作为本次暴雨强度公式修编的成果</w:t>
      </w:r>
      <w:r>
        <w:rPr>
          <w:rFonts w:hint="eastAsia" w:cs="Times New Roman"/>
          <w:color w:val="auto"/>
          <w:highlight w:val="none"/>
          <w:lang w:val="en-US" w:eastAsia="zh-CN"/>
        </w:rPr>
        <w:t>”</w:t>
      </w:r>
      <w:r>
        <w:rPr>
          <w:rFonts w:hint="eastAsia" w:ascii="Times New Roman" w:hAnsi="Times New Roman" w:eastAsia="宋体" w:cs="Times New Roman"/>
          <w:color w:val="auto"/>
          <w:highlight w:val="none"/>
          <w:lang w:val="en-US" w:eastAsia="zh-CN"/>
        </w:rPr>
        <w:t>。</w:t>
      </w:r>
    </w:p>
    <w:p>
      <w:pPr>
        <w:kinsoku/>
        <w:wordWrap/>
        <w:overflowPunct/>
        <w:topLinePunct w:val="0"/>
        <w:bidi w:val="0"/>
        <w:adjustRightInd w:val="0"/>
        <w:snapToGrid w:val="0"/>
        <w:spacing w:line="360" w:lineRule="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从化区</w:t>
      </w:r>
      <w:r>
        <w:rPr>
          <w:rFonts w:hint="eastAsia" w:cs="Times New Roman"/>
          <w:color w:val="auto"/>
          <w:lang w:val="en-US" w:eastAsia="zh-CN"/>
        </w:rPr>
        <w:t>采用</w:t>
      </w:r>
      <w:r>
        <w:rPr>
          <w:rFonts w:hint="eastAsia" w:ascii="Times New Roman" w:hAnsi="Times New Roman" w:eastAsia="宋体" w:cs="Times New Roman"/>
          <w:color w:val="auto"/>
          <w:lang w:val="en-US" w:eastAsia="zh-CN"/>
        </w:rPr>
        <w:t>近</w:t>
      </w:r>
      <w:r>
        <w:rPr>
          <w:rFonts w:hint="eastAsia" w:cs="Times New Roman"/>
          <w:color w:val="auto"/>
          <w:lang w:val="en-US" w:eastAsia="zh-CN"/>
        </w:rPr>
        <w:t>40</w:t>
      </w:r>
      <w:r>
        <w:rPr>
          <w:rFonts w:hint="eastAsia" w:ascii="Times New Roman" w:hAnsi="Times New Roman" w:eastAsia="宋体" w:cs="Times New Roman"/>
          <w:color w:val="auto"/>
          <w:lang w:val="en-US" w:eastAsia="zh-CN"/>
        </w:rPr>
        <w:t>年</w:t>
      </w:r>
      <w:r>
        <w:rPr>
          <w:rFonts w:hint="eastAsia" w:cs="Times New Roman"/>
          <w:color w:val="auto"/>
          <w:lang w:val="en-US" w:eastAsia="zh-CN"/>
        </w:rPr>
        <w:t>资料推算的暴雨强度总</w:t>
      </w:r>
      <w:r>
        <w:rPr>
          <w:rFonts w:hint="eastAsia" w:ascii="Times New Roman" w:hAnsi="Times New Roman" w:eastAsia="宋体" w:cs="Times New Roman"/>
          <w:color w:val="auto"/>
          <w:lang w:val="en-US" w:eastAsia="zh-CN"/>
        </w:rPr>
        <w:t>公式：</w:t>
      </w:r>
    </w:p>
    <w:p>
      <w:pPr>
        <w:kinsoku/>
        <w:wordWrap/>
        <w:overflowPunct/>
        <w:topLinePunct w:val="0"/>
        <w:bidi w:val="0"/>
        <w:adjustRightInd w:val="0"/>
        <w:snapToGrid w:val="0"/>
        <w:spacing w:line="360" w:lineRule="auto"/>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q=</w:t>
      </w:r>
      <w:r>
        <w:rPr>
          <w:rFonts w:hint="eastAsia" w:cs="Times New Roman"/>
          <w:color w:val="auto"/>
          <w:lang w:val="en-US" w:eastAsia="zh-CN"/>
        </w:rPr>
        <w:t>3589.127</w:t>
      </w:r>
      <w:r>
        <w:rPr>
          <w:rFonts w:hint="eastAsia" w:ascii="Times New Roman" w:hAnsi="Times New Roman" w:eastAsia="宋体" w:cs="Times New Roman"/>
          <w:color w:val="auto"/>
          <w:lang w:val="en-US" w:eastAsia="zh-CN"/>
        </w:rPr>
        <w:t>(1+0.</w:t>
      </w:r>
      <w:r>
        <w:rPr>
          <w:rFonts w:hint="eastAsia" w:cs="Times New Roman"/>
          <w:color w:val="auto"/>
          <w:lang w:val="en-US" w:eastAsia="zh-CN"/>
        </w:rPr>
        <w:t>438</w:t>
      </w:r>
      <w:r>
        <w:rPr>
          <w:rFonts w:hint="eastAsia" w:ascii="Times New Roman" w:hAnsi="Times New Roman" w:eastAsia="宋体" w:cs="Times New Roman"/>
          <w:color w:val="auto"/>
          <w:lang w:val="en-US" w:eastAsia="zh-CN"/>
        </w:rPr>
        <w:t>lnP)/(t+</w:t>
      </w:r>
      <w:r>
        <w:rPr>
          <w:rFonts w:hint="eastAsia" w:cs="Times New Roman"/>
          <w:color w:val="auto"/>
          <w:lang w:val="en-US" w:eastAsia="zh-CN"/>
        </w:rPr>
        <w:t>16.816</w:t>
      </w:r>
      <w:r>
        <w:rPr>
          <w:rFonts w:hint="eastAsia" w:ascii="Times New Roman" w:hAnsi="Times New Roman" w:eastAsia="宋体" w:cs="Times New Roman"/>
          <w:color w:val="auto"/>
          <w:lang w:val="en-US" w:eastAsia="zh-CN"/>
        </w:rPr>
        <w:t>)</w:t>
      </w:r>
      <w:r>
        <w:rPr>
          <w:rFonts w:hint="eastAsia" w:ascii="Times New Roman" w:hAnsi="Times New Roman" w:eastAsia="宋体" w:cs="Times New Roman"/>
          <w:color w:val="auto"/>
          <w:vertAlign w:val="superscript"/>
          <w:lang w:val="en-US" w:eastAsia="zh-CN"/>
        </w:rPr>
        <w:t>0.</w:t>
      </w:r>
      <w:r>
        <w:rPr>
          <w:rFonts w:hint="eastAsia" w:cs="Times New Roman"/>
          <w:color w:val="auto"/>
          <w:vertAlign w:val="superscript"/>
          <w:lang w:val="en-US" w:eastAsia="zh-CN"/>
        </w:rPr>
        <w:t>721</w:t>
      </w:r>
      <w:r>
        <w:rPr>
          <w:rFonts w:hint="eastAsia" w:ascii="Times New Roman" w:hAnsi="Times New Roman" w:eastAsia="宋体" w:cs="Times New Roman"/>
          <w:color w:val="auto"/>
          <w:lang w:val="en-US" w:eastAsia="zh-CN"/>
        </w:rPr>
        <w:t xml:space="preserve"> (L/s.ha)</w:t>
      </w:r>
    </w:p>
    <w:p>
      <w:pPr>
        <w:pStyle w:val="36"/>
        <w:rPr>
          <w:rFonts w:hint="eastAsia" w:ascii="Times New Roman" w:hAnsi="Times New Roman" w:cs="Times New Roman"/>
          <w:color w:val="auto"/>
          <w:highlight w:val="none"/>
          <w:lang w:val="en-US" w:eastAsia="zh-CN"/>
        </w:rPr>
      </w:pPr>
      <w:r>
        <w:rPr>
          <w:rFonts w:hint="eastAsia"/>
          <w:color w:val="auto"/>
          <w:lang w:val="en-US" w:eastAsia="zh-CN"/>
        </w:rPr>
        <w:t>根据</w:t>
      </w:r>
      <w:r>
        <w:rPr>
          <w:rFonts w:hint="eastAsia" w:ascii="Times New Roman" w:hAnsi="Times New Roman" w:eastAsia="宋体" w:cs="Times New Roman"/>
          <w:color w:val="auto"/>
          <w:highlight w:val="none"/>
          <w:lang w:val="en-US" w:eastAsia="zh-CN"/>
        </w:rPr>
        <w:t>《广州市暴雨强度公式编制与设计暴雨雨型研究技术报告》</w:t>
      </w:r>
      <w:r>
        <w:rPr>
          <w:rFonts w:hint="eastAsia" w:ascii="Times New Roman" w:hAnsi="Times New Roman" w:cs="Times New Roman"/>
          <w:color w:val="auto"/>
          <w:highlight w:val="none"/>
          <w:lang w:val="en-US" w:eastAsia="zh-CN"/>
        </w:rPr>
        <w:t>页47~48对暴雨强度区间公式与暴雨强度总公式的精度检验对比，得出结论“暴雨强度区间公式明显优于暴雨强度总公式，因此推荐使用暴雨强度区间公式”。</w:t>
      </w:r>
    </w:p>
    <w:p>
      <w:pPr>
        <w:pStyle w:val="36"/>
        <w:rPr>
          <w:rFonts w:hint="eastAsia"/>
          <w:color w:val="auto"/>
          <w:highlight w:val="none"/>
          <w:lang w:val="en-US" w:eastAsia="zh-CN"/>
        </w:rPr>
      </w:pPr>
      <w:r>
        <w:rPr>
          <w:rFonts w:hint="eastAsia"/>
          <w:color w:val="auto"/>
          <w:highlight w:val="none"/>
        </w:rPr>
        <w:t>根据</w:t>
      </w:r>
      <w:r>
        <w:rPr>
          <w:rFonts w:hint="eastAsia" w:ascii="Times New Roman" w:hAnsi="Times New Roman" w:eastAsia="宋体" w:cs="Times New Roman"/>
          <w:color w:val="auto"/>
          <w:lang w:val="en-US" w:eastAsia="zh-CN"/>
        </w:rPr>
        <w:t>《室外排水设计标准 GB50014-2021》</w:t>
      </w:r>
      <w:r>
        <w:rPr>
          <w:rFonts w:hint="eastAsia"/>
          <w:color w:val="auto"/>
          <w:highlight w:val="none"/>
          <w:lang w:eastAsia="zh-CN"/>
        </w:rPr>
        <w:t>对重现期的要求，本次设计区域属规划从化区中心城区边界，故重现期采用</w:t>
      </w:r>
      <w:r>
        <w:rPr>
          <w:rFonts w:hint="eastAsia"/>
          <w:color w:val="auto"/>
          <w:highlight w:val="none"/>
          <w:lang w:val="en-US" w:eastAsia="zh-CN"/>
        </w:rPr>
        <w:t>3年一遇复核管道过流能力。</w:t>
      </w:r>
    </w:p>
    <w:p>
      <w:pPr>
        <w:pStyle w:val="36"/>
        <w:rPr>
          <w:rFonts w:hint="default"/>
          <w:color w:val="auto"/>
          <w:highlight w:val="none"/>
          <w:lang w:val="en-US" w:eastAsia="zh-CN"/>
        </w:rPr>
      </w:pPr>
      <w:r>
        <w:rPr>
          <w:rFonts w:hint="eastAsia"/>
          <w:color w:val="auto"/>
          <w:lang w:val="en-US" w:eastAsia="zh-CN"/>
        </w:rPr>
        <w:t>由上述得出结论，本次设计采用的暴雨强度公式为</w:t>
      </w:r>
      <w:r>
        <w:rPr>
          <w:rFonts w:hint="eastAsia" w:ascii="Times New Roman" w:hAnsi="Times New Roman" w:eastAsia="宋体" w:cs="Times New Roman"/>
          <w:color w:val="auto"/>
          <w:lang w:val="en-US" w:eastAsia="zh-CN"/>
        </w:rPr>
        <w:t>从化区</w:t>
      </w:r>
      <w:r>
        <w:rPr>
          <w:rFonts w:hint="eastAsia" w:cs="Times New Roman"/>
          <w:color w:val="auto"/>
          <w:lang w:val="en-US" w:eastAsia="zh-CN"/>
        </w:rPr>
        <w:t>采用</w:t>
      </w:r>
      <w:r>
        <w:rPr>
          <w:rFonts w:hint="eastAsia" w:ascii="Times New Roman" w:hAnsi="Times New Roman" w:eastAsia="宋体" w:cs="Times New Roman"/>
          <w:color w:val="auto"/>
          <w:lang w:val="en-US" w:eastAsia="zh-CN"/>
        </w:rPr>
        <w:t>近</w:t>
      </w:r>
      <w:r>
        <w:rPr>
          <w:rFonts w:hint="eastAsia" w:cs="Times New Roman"/>
          <w:color w:val="auto"/>
          <w:lang w:val="en-US" w:eastAsia="zh-CN"/>
        </w:rPr>
        <w:t>40</w:t>
      </w:r>
      <w:r>
        <w:rPr>
          <w:rFonts w:hint="eastAsia" w:ascii="Times New Roman" w:hAnsi="Times New Roman" w:eastAsia="宋体" w:cs="Times New Roman"/>
          <w:color w:val="auto"/>
          <w:lang w:val="en-US" w:eastAsia="zh-CN"/>
        </w:rPr>
        <w:t>年</w:t>
      </w:r>
      <w:r>
        <w:rPr>
          <w:rFonts w:hint="eastAsia" w:cs="Times New Roman"/>
          <w:color w:val="auto"/>
          <w:lang w:val="en-US" w:eastAsia="zh-CN"/>
        </w:rPr>
        <w:t>资料推算的3年重现期的单一重现期暴雨强度公式。</w:t>
      </w:r>
    </w:p>
    <w:p>
      <w:pPr>
        <w:kinsoku/>
        <w:wordWrap/>
        <w:overflowPunct/>
        <w:topLinePunct w:val="0"/>
        <w:bidi w:val="0"/>
        <w:adjustRightInd w:val="0"/>
        <w:snapToGrid w:val="0"/>
        <w:spacing w:line="360" w:lineRule="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从化区</w:t>
      </w:r>
      <w:r>
        <w:rPr>
          <w:rFonts w:hint="eastAsia" w:cs="Times New Roman"/>
          <w:color w:val="auto"/>
          <w:lang w:val="en-US" w:eastAsia="zh-CN"/>
        </w:rPr>
        <w:t>采用</w:t>
      </w:r>
      <w:r>
        <w:rPr>
          <w:rFonts w:hint="eastAsia" w:ascii="Times New Roman" w:hAnsi="Times New Roman" w:eastAsia="宋体" w:cs="Times New Roman"/>
          <w:color w:val="auto"/>
          <w:lang w:val="en-US" w:eastAsia="zh-CN"/>
        </w:rPr>
        <w:t>近</w:t>
      </w:r>
      <w:r>
        <w:rPr>
          <w:rFonts w:hint="eastAsia" w:cs="Times New Roman"/>
          <w:color w:val="auto"/>
          <w:lang w:val="en-US" w:eastAsia="zh-CN"/>
        </w:rPr>
        <w:t>40</w:t>
      </w:r>
      <w:r>
        <w:rPr>
          <w:rFonts w:hint="eastAsia" w:ascii="Times New Roman" w:hAnsi="Times New Roman" w:eastAsia="宋体" w:cs="Times New Roman"/>
          <w:color w:val="auto"/>
          <w:lang w:val="en-US" w:eastAsia="zh-CN"/>
        </w:rPr>
        <w:t>年</w:t>
      </w:r>
      <w:r>
        <w:rPr>
          <w:rFonts w:hint="eastAsia" w:cs="Times New Roman"/>
          <w:color w:val="auto"/>
          <w:lang w:val="en-US" w:eastAsia="zh-CN"/>
        </w:rPr>
        <w:t>资料推算的3年重现期的单一重现期暴雨强度公式</w:t>
      </w:r>
      <w:r>
        <w:rPr>
          <w:rFonts w:hint="eastAsia" w:ascii="Times New Roman" w:hAnsi="Times New Roman" w:eastAsia="宋体" w:cs="Times New Roman"/>
          <w:color w:val="auto"/>
          <w:lang w:val="en-US" w:eastAsia="zh-CN"/>
        </w:rPr>
        <w:t>：</w:t>
      </w:r>
    </w:p>
    <w:p>
      <w:pPr>
        <w:kinsoku/>
        <w:wordWrap/>
        <w:overflowPunct/>
        <w:topLinePunct w:val="0"/>
        <w:bidi w:val="0"/>
        <w:adjustRightInd w:val="0"/>
        <w:snapToGrid w:val="0"/>
        <w:spacing w:line="360" w:lineRule="auto"/>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q=</w:t>
      </w:r>
      <w:r>
        <w:rPr>
          <w:rFonts w:hint="eastAsia" w:ascii="宋体" w:hAnsi="宋体" w:eastAsia="宋体"/>
          <w:color w:val="auto"/>
          <w:sz w:val="24"/>
          <w:szCs w:val="24"/>
        </w:rPr>
        <w:t>5632.576 / (t + 17.708)</w:t>
      </w:r>
      <w:r>
        <w:rPr>
          <w:rFonts w:hint="eastAsia" w:ascii="宋体" w:hAnsi="宋体" w:eastAsia="宋体"/>
          <w:color w:val="auto"/>
          <w:sz w:val="32"/>
          <w:szCs w:val="32"/>
          <w:vertAlign w:val="superscript"/>
        </w:rPr>
        <w:t xml:space="preserve"> 0.792</w:t>
      </w:r>
      <w:r>
        <w:rPr>
          <w:rFonts w:hint="eastAsia" w:ascii="Times New Roman" w:hAnsi="Times New Roman" w:eastAsia="宋体" w:cs="Times New Roman"/>
          <w:color w:val="auto"/>
          <w:sz w:val="32"/>
          <w:szCs w:val="32"/>
          <w:vertAlign w:val="superscript"/>
          <w:lang w:val="en-US" w:eastAsia="zh-CN"/>
        </w:rPr>
        <w:t xml:space="preserve"> </w:t>
      </w:r>
      <w:r>
        <w:rPr>
          <w:rFonts w:hint="eastAsia" w:ascii="Times New Roman" w:hAnsi="Times New Roman" w:eastAsia="宋体" w:cs="Times New Roman"/>
          <w:color w:val="auto"/>
          <w:lang w:val="en-US" w:eastAsia="zh-CN"/>
        </w:rPr>
        <w:t>(L/s.ha)</w:t>
      </w:r>
    </w:p>
    <w:p>
      <w:pPr>
        <w:pStyle w:val="36"/>
        <w:rPr>
          <w:rFonts w:hint="default"/>
          <w:color w:val="auto"/>
          <w:lang w:val="en-US" w:eastAsia="zh-CN"/>
        </w:rPr>
      </w:pPr>
      <w:r>
        <w:rPr>
          <w:rFonts w:hint="eastAsia"/>
          <w:color w:val="auto"/>
          <w:lang w:val="en-US" w:eastAsia="zh-CN"/>
        </w:rPr>
        <w:t>式中：t</w:t>
      </w:r>
      <w:r>
        <w:rPr>
          <w:rFonts w:hint="eastAsia" w:ascii="Times New Roman" w:hAnsi="Times New Roman" w:eastAsia="宋体" w:cs="Times New Roman"/>
          <w:color w:val="auto"/>
          <w:lang w:val="en-US" w:eastAsia="zh-CN"/>
        </w:rPr>
        <w:t>—降雨历时（分钟）</w:t>
      </w:r>
    </w:p>
    <w:p>
      <w:pPr>
        <w:kinsoku/>
        <w:wordWrap/>
        <w:overflowPunct/>
        <w:topLinePunct w:val="0"/>
        <w:bidi w:val="0"/>
        <w:adjustRightInd w:val="0"/>
        <w:snapToGrid w:val="0"/>
        <w:spacing w:line="360" w:lineRule="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式中：q—设计暴雨强度（升/秒·公顷）</w:t>
      </w:r>
    </w:p>
    <w:p>
      <w:pPr>
        <w:kinsoku/>
        <w:wordWrap/>
        <w:overflowPunct/>
        <w:topLinePunct w:val="0"/>
        <w:bidi w:val="0"/>
        <w:adjustRightInd w:val="0"/>
        <w:snapToGrid w:val="0"/>
        <w:spacing w:line="360" w:lineRule="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t—降雨历时（分钟）</w:t>
      </w:r>
    </w:p>
    <w:p>
      <w:pPr>
        <w:kinsoku/>
        <w:wordWrap/>
        <w:overflowPunct/>
        <w:topLinePunct w:val="0"/>
        <w:bidi w:val="0"/>
        <w:adjustRightInd w:val="0"/>
        <w:snapToGrid w:val="0"/>
        <w:spacing w:line="360" w:lineRule="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A—雨力</w:t>
      </w:r>
    </w:p>
    <w:p>
      <w:pPr>
        <w:kinsoku/>
        <w:wordWrap/>
        <w:overflowPunct/>
        <w:topLinePunct w:val="0"/>
        <w:bidi w:val="0"/>
        <w:adjustRightInd w:val="0"/>
        <w:snapToGrid w:val="0"/>
        <w:spacing w:line="360" w:lineRule="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b、n—地方常数</w:t>
      </w:r>
    </w:p>
    <w:p>
      <w:pPr>
        <w:kinsoku/>
        <w:wordWrap/>
        <w:overflowPunct/>
        <w:topLinePunct w:val="0"/>
        <w:bidi w:val="0"/>
        <w:adjustRightInd w:val="0"/>
        <w:snapToGrid w:val="0"/>
        <w:spacing w:line="360" w:lineRule="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（A、b、n按重现期区间参数公式计算，公式见</w:t>
      </w:r>
      <w:r>
        <w:rPr>
          <w:rFonts w:hint="eastAsia" w:cs="Times New Roman"/>
          <w:color w:val="auto"/>
          <w:highlight w:val="none"/>
          <w:lang w:val="en-US" w:eastAsia="zh-CN"/>
        </w:rPr>
        <w:t>2022年12月发布的</w:t>
      </w:r>
      <w:r>
        <w:rPr>
          <w:rFonts w:hint="eastAsia" w:ascii="Times New Roman" w:hAnsi="Times New Roman" w:eastAsia="宋体" w:cs="Times New Roman"/>
          <w:color w:val="auto"/>
          <w:highlight w:val="none"/>
          <w:lang w:val="en-US" w:eastAsia="zh-CN"/>
        </w:rPr>
        <w:t>《广州市暴雨强度公式编制与设计暴雨雨型研究技术报告》页</w:t>
      </w:r>
      <w:r>
        <w:rPr>
          <w:rFonts w:hint="eastAsia" w:cs="Times New Roman"/>
          <w:color w:val="auto"/>
          <w:highlight w:val="none"/>
          <w:lang w:val="en-US" w:eastAsia="zh-CN"/>
        </w:rPr>
        <w:t>46</w:t>
      </w:r>
      <w:r>
        <w:rPr>
          <w:rFonts w:hint="eastAsia" w:ascii="Times New Roman" w:hAnsi="Times New Roman" w:eastAsia="宋体" w:cs="Times New Roman"/>
          <w:color w:val="auto"/>
          <w:highlight w:val="none"/>
          <w:lang w:val="en-US" w:eastAsia="zh-CN"/>
        </w:rPr>
        <w:t>表</w:t>
      </w:r>
      <w:r>
        <w:rPr>
          <w:rFonts w:hint="eastAsia" w:cs="Times New Roman"/>
          <w:color w:val="auto"/>
          <w:highlight w:val="none"/>
          <w:lang w:val="en-US" w:eastAsia="zh-CN"/>
        </w:rPr>
        <w:t>5-8</w:t>
      </w:r>
      <w:r>
        <w:rPr>
          <w:rFonts w:hint="eastAsia" w:ascii="Times New Roman" w:hAnsi="Times New Roman" w:eastAsia="宋体" w:cs="Times New Roman"/>
          <w:color w:val="auto"/>
          <w:highlight w:val="none"/>
          <w:lang w:val="en-US" w:eastAsia="zh-CN"/>
        </w:rPr>
        <w:t>）</w:t>
      </w:r>
    </w:p>
    <w:p>
      <w:pPr>
        <w:pStyle w:val="40"/>
        <w:numPr>
          <w:ilvl w:val="2"/>
          <w:numId w:val="9"/>
        </w:numPr>
        <w:bidi w:val="0"/>
        <w:rPr>
          <w:rFonts w:hint="eastAsia"/>
          <w:color w:val="auto"/>
          <w:lang w:eastAsia="zh-CN"/>
        </w:rPr>
      </w:pPr>
      <w:r>
        <w:rPr>
          <w:rFonts w:hint="eastAsia"/>
          <w:color w:val="auto"/>
          <w:lang w:eastAsia="zh-CN"/>
        </w:rPr>
        <w:t>现状排水情况</w:t>
      </w:r>
    </w:p>
    <w:p>
      <w:pPr>
        <w:pStyle w:val="36"/>
        <w:keepLines w:val="0"/>
        <w:pageBreakBefore w:val="0"/>
        <w:widowControl w:val="0"/>
        <w:kinsoku/>
        <w:wordWrap/>
        <w:overflowPunct/>
        <w:topLinePunct w:val="0"/>
        <w:autoSpaceDE/>
        <w:autoSpaceDN/>
        <w:bidi w:val="0"/>
        <w:adjustRightInd/>
        <w:snapToGrid/>
        <w:ind w:left="0" w:leftChars="0" w:firstLine="604" w:firstLineChars="200"/>
        <w:textAlignment w:val="auto"/>
        <w:rPr>
          <w:rFonts w:hint="eastAsia" w:cs="宋体"/>
          <w:color w:val="auto"/>
          <w:sz w:val="28"/>
          <w:szCs w:val="18"/>
          <w:lang w:val="en-US" w:eastAsia="zh-CN"/>
        </w:rPr>
      </w:pPr>
      <w:r>
        <w:rPr>
          <w:rFonts w:hint="eastAsia" w:cs="宋体"/>
          <w:color w:val="auto"/>
          <w:sz w:val="28"/>
          <w:szCs w:val="18"/>
          <w:lang w:val="en-US" w:eastAsia="zh-CN"/>
        </w:rPr>
        <w:t>根据现场调研，Y523片区内合流管道布置情况为罗洞牌坊处至公路管养站为道路两侧各一条合流管道，东北侧为DN400管，西南侧为DN600管，主要收集沿线商铺及道路雨水，商铺后的企业内部由雨水管网排放至G105国道。</w:t>
      </w:r>
    </w:p>
    <w:p>
      <w:pPr>
        <w:pStyle w:val="36"/>
        <w:keepLines w:val="0"/>
        <w:pageBreakBefore w:val="0"/>
        <w:widowControl w:val="0"/>
        <w:kinsoku/>
        <w:wordWrap/>
        <w:overflowPunct/>
        <w:topLinePunct w:val="0"/>
        <w:autoSpaceDE/>
        <w:autoSpaceDN/>
        <w:bidi w:val="0"/>
        <w:adjustRightInd/>
        <w:snapToGrid/>
        <w:ind w:left="0" w:leftChars="0" w:firstLine="604" w:firstLineChars="200"/>
        <w:textAlignment w:val="auto"/>
        <w:rPr>
          <w:rFonts w:hint="eastAsia" w:cs="宋体"/>
          <w:color w:val="auto"/>
          <w:sz w:val="28"/>
          <w:szCs w:val="18"/>
          <w:lang w:val="en-US" w:eastAsia="zh-CN"/>
        </w:rPr>
      </w:pPr>
      <w:r>
        <w:rPr>
          <w:rFonts w:hint="eastAsia" w:cs="宋体"/>
          <w:color w:val="auto"/>
          <w:sz w:val="28"/>
          <w:szCs w:val="18"/>
          <w:lang w:val="en-US" w:eastAsia="zh-CN"/>
        </w:rPr>
        <w:t>过公路管养站后，仅西南侧有一条800x800的沟渠，收集沿线居民雨水，东北侧雨水根据地势向东北侧排放，后经地面漫流流入凤凰水支流。</w:t>
      </w:r>
    </w:p>
    <w:p>
      <w:pPr>
        <w:pStyle w:val="36"/>
        <w:keepLines w:val="0"/>
        <w:pageBreakBefore w:val="0"/>
        <w:widowControl w:val="0"/>
        <w:kinsoku/>
        <w:wordWrap/>
        <w:overflowPunct/>
        <w:topLinePunct w:val="0"/>
        <w:autoSpaceDE/>
        <w:autoSpaceDN/>
        <w:bidi w:val="0"/>
        <w:adjustRightInd/>
        <w:snapToGrid/>
        <w:ind w:left="0" w:leftChars="0" w:firstLine="604" w:firstLineChars="200"/>
        <w:textAlignment w:val="auto"/>
        <w:rPr>
          <w:rFonts w:hint="eastAsia" w:cs="宋体"/>
          <w:color w:val="auto"/>
          <w:sz w:val="28"/>
          <w:szCs w:val="18"/>
          <w:lang w:val="en-US" w:eastAsia="zh-CN"/>
        </w:rPr>
      </w:pPr>
      <w:r>
        <w:rPr>
          <w:rFonts w:hint="eastAsia" w:cs="宋体"/>
          <w:color w:val="auto"/>
          <w:sz w:val="28"/>
          <w:szCs w:val="18"/>
          <w:lang w:val="en-US" w:eastAsia="zh-CN"/>
        </w:rPr>
        <w:t>至靠近凤凰水支流处，道路东北侧有一条400x400沟渠，主要排放其东北侧的广州景信针织制衣有限公司内部雨水，道路雨水及西南侧雨水经地面漫流流入凤凰水支流。</w:t>
      </w:r>
    </w:p>
    <w:p>
      <w:pPr>
        <w:pStyle w:val="36"/>
        <w:keepLines w:val="0"/>
        <w:pageBreakBefore w:val="0"/>
        <w:widowControl w:val="0"/>
        <w:kinsoku/>
        <w:wordWrap/>
        <w:overflowPunct/>
        <w:topLinePunct w:val="0"/>
        <w:autoSpaceDE/>
        <w:autoSpaceDN/>
        <w:bidi w:val="0"/>
        <w:adjustRightInd/>
        <w:snapToGrid/>
        <w:ind w:left="0" w:leftChars="0" w:firstLine="604" w:firstLineChars="200"/>
        <w:textAlignment w:val="auto"/>
        <w:rPr>
          <w:rFonts w:hint="eastAsia" w:cs="宋体"/>
          <w:color w:val="auto"/>
          <w:sz w:val="28"/>
          <w:szCs w:val="18"/>
          <w:lang w:val="en-US" w:eastAsia="zh-CN"/>
        </w:rPr>
      </w:pPr>
      <w:r>
        <w:rPr>
          <w:rFonts w:hint="eastAsia" w:cs="宋体"/>
          <w:color w:val="auto"/>
          <w:sz w:val="28"/>
          <w:szCs w:val="18"/>
          <w:lang w:val="en-US" w:eastAsia="zh-CN"/>
        </w:rPr>
        <w:t>福利院及和睦小学段为一条800x800的沟渠及一根800x1400的沟渠排放雨水。</w:t>
      </w:r>
    </w:p>
    <w:p>
      <w:pPr>
        <w:keepLines w:val="0"/>
        <w:pageBreakBefore w:val="0"/>
        <w:widowControl w:val="0"/>
        <w:kinsoku/>
        <w:wordWrap/>
        <w:overflowPunct/>
        <w:topLinePunct w:val="0"/>
        <w:autoSpaceDE/>
        <w:autoSpaceDN/>
        <w:bidi w:val="0"/>
        <w:adjustRightInd/>
        <w:snapToGrid/>
        <w:ind w:left="0" w:leftChars="0" w:firstLine="0" w:firstLineChars="0"/>
        <w:jc w:val="center"/>
        <w:textAlignment w:val="auto"/>
        <w:rPr>
          <w:color w:val="auto"/>
        </w:rPr>
      </w:pPr>
      <w:r>
        <w:rPr>
          <w:color w:val="auto"/>
        </w:rPr>
        <w:drawing>
          <wp:inline distT="0" distB="0" distL="114300" distR="114300">
            <wp:extent cx="5102860" cy="5005705"/>
            <wp:effectExtent l="0" t="0" r="2540" b="4445"/>
            <wp:docPr id="6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7"/>
                    <pic:cNvPicPr>
                      <a:picLocks noChangeAspect="1"/>
                    </pic:cNvPicPr>
                  </pic:nvPicPr>
                  <pic:blipFill>
                    <a:blip r:embed="rId68"/>
                    <a:stretch>
                      <a:fillRect/>
                    </a:stretch>
                  </pic:blipFill>
                  <pic:spPr>
                    <a:xfrm>
                      <a:off x="0" y="0"/>
                      <a:ext cx="5102860" cy="5005705"/>
                    </a:xfrm>
                    <a:prstGeom prst="rect">
                      <a:avLst/>
                    </a:prstGeom>
                    <a:noFill/>
                    <a:ln>
                      <a:noFill/>
                    </a:ln>
                  </pic:spPr>
                </pic:pic>
              </a:graphicData>
            </a:graphic>
          </wp:inline>
        </w:drawing>
      </w:r>
    </w:p>
    <w:p>
      <w:pPr>
        <w:pStyle w:val="91"/>
        <w:keepLines w:val="0"/>
        <w:pageBreakBefore w:val="0"/>
        <w:widowControl w:val="0"/>
        <w:numPr>
          <w:ilvl w:val="8"/>
          <w:numId w:val="9"/>
        </w:numPr>
        <w:kinsoku/>
        <w:wordWrap/>
        <w:overflowPunct/>
        <w:topLinePunct w:val="0"/>
        <w:autoSpaceDE/>
        <w:autoSpaceDN/>
        <w:bidi w:val="0"/>
        <w:adjustRightInd/>
        <w:snapToGrid/>
        <w:textAlignment w:val="auto"/>
        <w:rPr>
          <w:color w:val="auto"/>
        </w:rPr>
      </w:pPr>
      <w:r>
        <w:rPr>
          <w:rFonts w:hint="eastAsia"/>
          <w:color w:val="auto"/>
          <w:lang w:val="en-US" w:eastAsia="zh-CN"/>
        </w:rPr>
        <w:t>Y523</w:t>
      </w:r>
      <w:r>
        <w:rPr>
          <w:rFonts w:hint="eastAsia"/>
          <w:color w:val="auto"/>
          <w:lang w:eastAsia="zh-CN"/>
        </w:rPr>
        <w:t>片区内现状合流系统分布图</w:t>
      </w:r>
    </w:p>
    <w:p>
      <w:pPr>
        <w:pStyle w:val="36"/>
        <w:keepLines w:val="0"/>
        <w:pageBreakBefore w:val="0"/>
        <w:widowControl w:val="0"/>
        <w:kinsoku/>
        <w:wordWrap/>
        <w:overflowPunct/>
        <w:topLinePunct w:val="0"/>
        <w:autoSpaceDE/>
        <w:autoSpaceDN/>
        <w:bidi w:val="0"/>
        <w:adjustRightInd/>
        <w:snapToGrid/>
        <w:ind w:left="0" w:leftChars="0" w:firstLine="604" w:firstLineChars="200"/>
        <w:textAlignment w:val="auto"/>
        <w:rPr>
          <w:color w:val="auto"/>
        </w:rPr>
      </w:pPr>
    </w:p>
    <w:p>
      <w:pPr>
        <w:pStyle w:val="40"/>
        <w:numPr>
          <w:ilvl w:val="2"/>
          <w:numId w:val="9"/>
        </w:numPr>
        <w:bidi w:val="0"/>
        <w:rPr>
          <w:rFonts w:hint="eastAsia"/>
          <w:color w:val="auto"/>
          <w:lang w:eastAsia="zh-CN"/>
        </w:rPr>
      </w:pPr>
      <w:r>
        <w:rPr>
          <w:rFonts w:hint="eastAsia"/>
          <w:color w:val="auto"/>
          <w:lang w:eastAsia="zh-CN"/>
        </w:rPr>
        <w:t>片区内雨水汇水分区</w:t>
      </w:r>
    </w:p>
    <w:p>
      <w:pPr>
        <w:pStyle w:val="36"/>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cs="宋体"/>
          <w:color w:val="auto"/>
          <w:sz w:val="28"/>
          <w:szCs w:val="18"/>
          <w:lang w:val="en-US" w:eastAsia="zh-CN"/>
        </w:rPr>
      </w:pPr>
      <w:r>
        <w:rPr>
          <w:color w:val="auto"/>
        </w:rPr>
        <w:drawing>
          <wp:inline distT="0" distB="0" distL="114300" distR="114300">
            <wp:extent cx="5676900" cy="5003165"/>
            <wp:effectExtent l="0" t="0" r="0" b="6985"/>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69"/>
                    <a:stretch>
                      <a:fillRect/>
                    </a:stretch>
                  </pic:blipFill>
                  <pic:spPr>
                    <a:xfrm>
                      <a:off x="0" y="0"/>
                      <a:ext cx="5676900" cy="5003165"/>
                    </a:xfrm>
                    <a:prstGeom prst="rect">
                      <a:avLst/>
                    </a:prstGeom>
                    <a:noFill/>
                    <a:ln>
                      <a:noFill/>
                    </a:ln>
                  </pic:spPr>
                </pic:pic>
              </a:graphicData>
            </a:graphic>
          </wp:inline>
        </w:drawing>
      </w:r>
    </w:p>
    <w:p>
      <w:pPr>
        <w:pStyle w:val="91"/>
        <w:keepLines w:val="0"/>
        <w:pageBreakBefore w:val="0"/>
        <w:widowControl w:val="0"/>
        <w:numPr>
          <w:ilvl w:val="8"/>
          <w:numId w:val="9"/>
        </w:numPr>
        <w:kinsoku/>
        <w:wordWrap/>
        <w:overflowPunct/>
        <w:topLinePunct w:val="0"/>
        <w:autoSpaceDE/>
        <w:autoSpaceDN/>
        <w:bidi w:val="0"/>
        <w:adjustRightInd/>
        <w:snapToGrid/>
        <w:textAlignment w:val="auto"/>
        <w:rPr>
          <w:color w:val="auto"/>
        </w:rPr>
      </w:pPr>
      <w:r>
        <w:rPr>
          <w:rFonts w:hint="eastAsia"/>
          <w:color w:val="auto"/>
          <w:lang w:eastAsia="zh-CN"/>
        </w:rPr>
        <w:t>罗洞片区雨水流向及雨水管汇水范围示意图</w:t>
      </w:r>
    </w:p>
    <w:p>
      <w:pPr>
        <w:pStyle w:val="36"/>
        <w:keepLines w:val="0"/>
        <w:pageBreakBefore w:val="0"/>
        <w:widowControl w:val="0"/>
        <w:kinsoku/>
        <w:wordWrap/>
        <w:overflowPunct/>
        <w:topLinePunct w:val="0"/>
        <w:autoSpaceDE/>
        <w:autoSpaceDN/>
        <w:bidi w:val="0"/>
        <w:adjustRightInd/>
        <w:snapToGrid/>
        <w:ind w:left="0" w:leftChars="0" w:firstLine="604" w:firstLineChars="200"/>
        <w:textAlignment w:val="auto"/>
        <w:rPr>
          <w:rFonts w:hint="eastAsia" w:cs="宋体"/>
          <w:color w:val="auto"/>
          <w:sz w:val="28"/>
          <w:szCs w:val="18"/>
          <w:lang w:val="en-US" w:eastAsia="zh-CN"/>
        </w:rPr>
      </w:pPr>
      <w:r>
        <w:rPr>
          <w:rFonts w:hint="eastAsia" w:cs="宋体"/>
          <w:color w:val="auto"/>
          <w:sz w:val="28"/>
          <w:szCs w:val="18"/>
          <w:lang w:val="en-US" w:eastAsia="zh-CN"/>
        </w:rPr>
        <w:t>Y523片区内雨水排放流向及雨水管汇水范围示意如图，图纸红线为雨水管汇水面积，黄色箭头为汇水范围内雨水流向，绿色箭头为通过自然消纳、地面漫流等方式排入自然水体或农田的雨水流向。</w:t>
      </w:r>
    </w:p>
    <w:p>
      <w:pPr>
        <w:pStyle w:val="36"/>
        <w:keepLines w:val="0"/>
        <w:pageBreakBefore w:val="0"/>
        <w:widowControl w:val="0"/>
        <w:kinsoku/>
        <w:wordWrap/>
        <w:overflowPunct/>
        <w:topLinePunct w:val="0"/>
        <w:autoSpaceDE/>
        <w:autoSpaceDN/>
        <w:bidi w:val="0"/>
        <w:adjustRightInd/>
        <w:snapToGrid/>
        <w:ind w:left="0" w:leftChars="0" w:firstLine="604" w:firstLineChars="200"/>
        <w:textAlignment w:val="auto"/>
        <w:rPr>
          <w:rFonts w:hint="eastAsia" w:cs="宋体"/>
          <w:color w:val="auto"/>
          <w:sz w:val="28"/>
          <w:szCs w:val="18"/>
          <w:lang w:val="en-US" w:eastAsia="zh-CN"/>
        </w:rPr>
      </w:pPr>
      <w:r>
        <w:rPr>
          <w:rFonts w:hint="eastAsia" w:cs="宋体"/>
          <w:color w:val="auto"/>
          <w:sz w:val="28"/>
          <w:szCs w:val="18"/>
          <w:lang w:val="en-US" w:eastAsia="zh-CN"/>
        </w:rPr>
        <w:t>汇水分区①、②、④主要为居民居住区，部分存在绿地、林地等；汇水分区③为广州景信针织制衣有限公司，内部绿化条件较好。故综合径流系数按下表取值。</w:t>
      </w:r>
    </w:p>
    <w:p>
      <w:pPr>
        <w:pStyle w:val="41"/>
        <w:numPr>
          <w:ilvl w:val="7"/>
          <w:numId w:val="9"/>
        </w:numPr>
        <w:bidi w:val="0"/>
        <w:ind w:left="0" w:leftChars="0" w:firstLine="0" w:firstLineChars="0"/>
        <w:rPr>
          <w:rFonts w:hint="eastAsia"/>
          <w:color w:val="auto"/>
          <w:lang w:val="en-US" w:eastAsia="zh-CN"/>
        </w:rPr>
      </w:pPr>
      <w:r>
        <w:rPr>
          <w:rFonts w:hint="eastAsia"/>
          <w:color w:val="auto"/>
          <w:lang w:val="en-US" w:eastAsia="zh-CN"/>
        </w:rPr>
        <w:t>综合径流系数取值表</w:t>
      </w:r>
    </w:p>
    <w:tbl>
      <w:tblPr>
        <w:tblStyle w:val="31"/>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3104"/>
        <w:gridCol w:w="290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3104"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区域情况</w:t>
            </w:r>
          </w:p>
        </w:tc>
        <w:tc>
          <w:tcPr>
            <w:tcW w:w="2906"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综合径流系数Ψ</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3104"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建筑密集区</w:t>
            </w:r>
          </w:p>
        </w:tc>
        <w:tc>
          <w:tcPr>
            <w:tcW w:w="2906"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0.6-0.7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3104"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建筑较密集区</w:t>
            </w:r>
          </w:p>
        </w:tc>
        <w:tc>
          <w:tcPr>
            <w:tcW w:w="2906"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0.45-0.6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3104"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建筑稀疏区</w:t>
            </w:r>
          </w:p>
        </w:tc>
        <w:tc>
          <w:tcPr>
            <w:tcW w:w="2906"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0.2-0.45</w:t>
            </w:r>
          </w:p>
        </w:tc>
      </w:tr>
    </w:tbl>
    <w:p>
      <w:pPr>
        <w:pStyle w:val="36"/>
        <w:keepLines w:val="0"/>
        <w:pageBreakBefore w:val="0"/>
        <w:widowControl w:val="0"/>
        <w:kinsoku/>
        <w:wordWrap/>
        <w:overflowPunct/>
        <w:topLinePunct w:val="0"/>
        <w:autoSpaceDE/>
        <w:autoSpaceDN/>
        <w:bidi w:val="0"/>
        <w:adjustRightInd/>
        <w:snapToGrid/>
        <w:ind w:left="0" w:leftChars="0" w:firstLine="604" w:firstLineChars="200"/>
        <w:textAlignment w:val="auto"/>
        <w:rPr>
          <w:rFonts w:hint="eastAsia" w:cs="宋体"/>
          <w:color w:val="auto"/>
          <w:sz w:val="28"/>
          <w:szCs w:val="18"/>
          <w:lang w:val="en-US" w:eastAsia="zh-CN"/>
        </w:rPr>
      </w:pPr>
      <w:r>
        <w:rPr>
          <w:rFonts w:hint="eastAsia" w:cs="宋体"/>
          <w:color w:val="auto"/>
          <w:sz w:val="28"/>
          <w:szCs w:val="18"/>
          <w:lang w:val="en-US" w:eastAsia="zh-CN"/>
        </w:rPr>
        <w:t>汇水分区①靠近G105国道路口处，较大面积为企业，建筑较少，为建筑较密集区，径流系数取0.55；</w:t>
      </w:r>
    </w:p>
    <w:p>
      <w:pPr>
        <w:pStyle w:val="36"/>
        <w:keepLines w:val="0"/>
        <w:pageBreakBefore w:val="0"/>
        <w:widowControl w:val="0"/>
        <w:kinsoku/>
        <w:wordWrap/>
        <w:overflowPunct/>
        <w:topLinePunct w:val="0"/>
        <w:autoSpaceDE/>
        <w:autoSpaceDN/>
        <w:bidi w:val="0"/>
        <w:adjustRightInd/>
        <w:snapToGrid/>
        <w:ind w:left="0" w:leftChars="0" w:firstLine="604" w:firstLineChars="200"/>
        <w:textAlignment w:val="auto"/>
        <w:rPr>
          <w:rFonts w:hint="eastAsia" w:cs="宋体"/>
          <w:color w:val="auto"/>
          <w:sz w:val="28"/>
          <w:szCs w:val="18"/>
          <w:lang w:val="en-US" w:eastAsia="zh-CN"/>
        </w:rPr>
      </w:pPr>
      <w:r>
        <w:rPr>
          <w:rFonts w:hint="eastAsia" w:cs="宋体"/>
          <w:color w:val="auto"/>
          <w:sz w:val="28"/>
          <w:szCs w:val="18"/>
          <w:lang w:val="en-US" w:eastAsia="zh-CN"/>
        </w:rPr>
        <w:t>汇水分区②靠近G105国道路口处，主要为农村居民区，建筑较多，为建筑密集集区，径流系数取0.7；</w:t>
      </w:r>
    </w:p>
    <w:p>
      <w:pPr>
        <w:pStyle w:val="36"/>
        <w:keepLines w:val="0"/>
        <w:pageBreakBefore w:val="0"/>
        <w:widowControl w:val="0"/>
        <w:kinsoku/>
        <w:wordWrap/>
        <w:overflowPunct/>
        <w:topLinePunct w:val="0"/>
        <w:autoSpaceDE/>
        <w:autoSpaceDN/>
        <w:bidi w:val="0"/>
        <w:adjustRightInd/>
        <w:snapToGrid/>
        <w:ind w:left="0" w:leftChars="0" w:firstLine="604" w:firstLineChars="200"/>
        <w:textAlignment w:val="auto"/>
        <w:rPr>
          <w:rFonts w:hint="eastAsia" w:cs="宋体"/>
          <w:color w:val="auto"/>
          <w:sz w:val="28"/>
          <w:szCs w:val="18"/>
          <w:lang w:val="en-US" w:eastAsia="zh-CN"/>
        </w:rPr>
      </w:pPr>
      <w:r>
        <w:rPr>
          <w:rFonts w:hint="eastAsia" w:cs="宋体"/>
          <w:color w:val="auto"/>
          <w:sz w:val="28"/>
          <w:szCs w:val="18"/>
          <w:lang w:val="en-US" w:eastAsia="zh-CN"/>
        </w:rPr>
        <w:t>汇水分区③主要为企业，企业内部绿化条件较好，径流系数取0.4；</w:t>
      </w:r>
    </w:p>
    <w:p>
      <w:pPr>
        <w:pStyle w:val="36"/>
        <w:keepLines w:val="0"/>
        <w:pageBreakBefore w:val="0"/>
        <w:widowControl w:val="0"/>
        <w:kinsoku/>
        <w:wordWrap/>
        <w:overflowPunct/>
        <w:topLinePunct w:val="0"/>
        <w:autoSpaceDE/>
        <w:autoSpaceDN/>
        <w:bidi w:val="0"/>
        <w:adjustRightInd/>
        <w:snapToGrid/>
        <w:ind w:left="0" w:leftChars="0" w:firstLine="604" w:firstLineChars="200"/>
        <w:textAlignment w:val="auto"/>
        <w:rPr>
          <w:rFonts w:hint="eastAsia" w:cs="宋体"/>
          <w:color w:val="auto"/>
          <w:sz w:val="28"/>
          <w:szCs w:val="18"/>
          <w:lang w:val="en-US" w:eastAsia="zh-CN"/>
        </w:rPr>
      </w:pPr>
      <w:r>
        <w:rPr>
          <w:rFonts w:hint="eastAsia" w:cs="宋体"/>
          <w:color w:val="auto"/>
          <w:sz w:val="28"/>
          <w:szCs w:val="18"/>
          <w:lang w:val="en-US" w:eastAsia="zh-CN"/>
        </w:rPr>
        <w:t>汇水分区④多为机关事业单位及企业，农村，属于建筑较密集区，径流系数取0.6。</w:t>
      </w:r>
    </w:p>
    <w:p>
      <w:pPr>
        <w:pStyle w:val="40"/>
        <w:numPr>
          <w:ilvl w:val="2"/>
          <w:numId w:val="9"/>
        </w:numPr>
        <w:bidi w:val="0"/>
        <w:rPr>
          <w:rFonts w:hint="eastAsia"/>
          <w:color w:val="auto"/>
          <w:lang w:eastAsia="zh-CN"/>
        </w:rPr>
      </w:pPr>
      <w:r>
        <w:rPr>
          <w:rFonts w:hint="eastAsia"/>
          <w:color w:val="auto"/>
          <w:lang w:eastAsia="zh-CN"/>
        </w:rPr>
        <w:t>暴雨流量计算及雨水管道校核</w:t>
      </w:r>
    </w:p>
    <w:p>
      <w:pPr>
        <w:rPr>
          <w:rFonts w:hint="eastAsia"/>
          <w:color w:val="auto"/>
          <w:lang w:eastAsia="zh-CN"/>
        </w:rPr>
      </w:pPr>
      <w:r>
        <w:rPr>
          <w:rFonts w:hint="eastAsia"/>
          <w:color w:val="auto"/>
          <w:lang w:eastAsia="zh-CN"/>
        </w:rPr>
        <w:t>根据以上确定的暴雨强度公式及片区面积、径流系数结合各片区面积大小综合确定降雨历时，取</w:t>
      </w:r>
      <w:r>
        <w:rPr>
          <w:rFonts w:hint="eastAsia"/>
          <w:color w:val="auto"/>
          <w:lang w:val="en-US" w:eastAsia="zh-CN"/>
        </w:rPr>
        <w:t>15-20min</w:t>
      </w:r>
      <w:r>
        <w:rPr>
          <w:rFonts w:hint="eastAsia"/>
          <w:color w:val="auto"/>
          <w:lang w:eastAsia="zh-CN"/>
        </w:rPr>
        <w:t>；可确定各个片区雨水暴雨流量计算；雨水流量公式：</w:t>
      </w:r>
    </w:p>
    <w:p>
      <w:pPr>
        <w:kinsoku/>
        <w:wordWrap/>
        <w:overflowPunct/>
        <w:topLinePunct w:val="0"/>
        <w:bidi w:val="0"/>
        <w:adjustRightInd w:val="0"/>
        <w:snapToGrid w:val="0"/>
        <w:spacing w:line="360" w:lineRule="auto"/>
        <w:rPr>
          <w:color w:val="auto"/>
        </w:rPr>
      </w:pPr>
      <w:r>
        <w:rPr>
          <w:rFonts w:hint="default"/>
          <w:color w:val="auto"/>
          <w:lang w:val="en-US" w:eastAsia="zh-CN"/>
        </w:rPr>
        <w:t>Q=K×ψ×q×F/10000</w:t>
      </w:r>
    </w:p>
    <w:p>
      <w:pPr>
        <w:kinsoku/>
        <w:wordWrap/>
        <w:overflowPunct/>
        <w:topLinePunct w:val="0"/>
        <w:bidi w:val="0"/>
        <w:adjustRightInd w:val="0"/>
        <w:snapToGrid w:val="0"/>
        <w:spacing w:line="360" w:lineRule="auto"/>
        <w:rPr>
          <w:rFonts w:hint="default"/>
          <w:color w:val="auto"/>
          <w:lang w:val="en-US" w:eastAsia="zh-CN"/>
        </w:rPr>
      </w:pPr>
      <w:r>
        <w:rPr>
          <w:color w:val="auto"/>
        </w:rPr>
        <w:t>式中：</w:t>
      </w:r>
      <w:r>
        <w:rPr>
          <w:rFonts w:hint="eastAsia"/>
          <w:color w:val="auto"/>
          <w:lang w:val="en-US" w:eastAsia="zh-CN"/>
        </w:rPr>
        <w:t>K</w:t>
      </w:r>
      <w:r>
        <w:rPr>
          <w:color w:val="auto"/>
        </w:rPr>
        <w:t>—</w:t>
      </w:r>
      <w:r>
        <w:rPr>
          <w:rFonts w:hint="eastAsia"/>
          <w:color w:val="auto"/>
        </w:rPr>
        <w:t>流量校正系数</w:t>
      </w:r>
      <w:r>
        <w:rPr>
          <w:rFonts w:hint="eastAsia"/>
          <w:color w:val="auto"/>
          <w:lang w:eastAsia="zh-CN"/>
        </w:rPr>
        <w:t>，取</w:t>
      </w:r>
      <w:r>
        <w:rPr>
          <w:rFonts w:hint="eastAsia"/>
          <w:color w:val="auto"/>
          <w:lang w:val="en-US" w:eastAsia="zh-CN"/>
        </w:rPr>
        <w:t>k=1；</w:t>
      </w:r>
    </w:p>
    <w:p>
      <w:pPr>
        <w:kinsoku/>
        <w:wordWrap/>
        <w:overflowPunct/>
        <w:topLinePunct w:val="0"/>
        <w:bidi w:val="0"/>
        <w:adjustRightInd w:val="0"/>
        <w:snapToGrid w:val="0"/>
        <w:spacing w:line="360" w:lineRule="auto"/>
        <w:rPr>
          <w:color w:val="auto"/>
          <w:highlight w:val="none"/>
        </w:rPr>
      </w:pPr>
      <w:r>
        <w:rPr>
          <w:rFonts w:hint="eastAsia"/>
          <w:color w:val="auto"/>
          <w:lang w:val="en-US" w:eastAsia="zh-CN"/>
        </w:rPr>
        <w:t xml:space="preserve"> </w:t>
      </w:r>
      <w:r>
        <w:rPr>
          <w:color w:val="auto"/>
        </w:rPr>
        <w:t xml:space="preserve"> </w:t>
      </w:r>
      <w:r>
        <w:rPr>
          <w:rFonts w:hint="eastAsia"/>
          <w:color w:val="auto"/>
          <w:lang w:val="en-US" w:eastAsia="zh-CN"/>
        </w:rPr>
        <w:t xml:space="preserve">    t</w:t>
      </w:r>
      <w:r>
        <w:rPr>
          <w:color w:val="auto"/>
        </w:rPr>
        <w:t>—</w:t>
      </w:r>
      <w:r>
        <w:rPr>
          <w:rFonts w:hint="eastAsia"/>
          <w:color w:val="auto"/>
          <w:lang w:eastAsia="zh-CN"/>
        </w:rPr>
        <w:t>降雨历时，</w:t>
      </w:r>
      <w:r>
        <w:rPr>
          <w:rFonts w:hint="eastAsia"/>
          <w:color w:val="auto"/>
          <w:highlight w:val="none"/>
          <w:lang w:val="en-US" w:eastAsia="zh-CN"/>
        </w:rPr>
        <w:t>t=t</w:t>
      </w:r>
      <w:r>
        <w:rPr>
          <w:rFonts w:hint="eastAsia"/>
          <w:color w:val="auto"/>
          <w:highlight w:val="none"/>
          <w:vertAlign w:val="subscript"/>
          <w:lang w:val="en-US" w:eastAsia="zh-CN"/>
        </w:rPr>
        <w:t>1</w:t>
      </w:r>
      <w:r>
        <w:rPr>
          <w:rFonts w:hint="eastAsia"/>
          <w:color w:val="auto"/>
          <w:highlight w:val="none"/>
          <w:lang w:val="en-US" w:eastAsia="zh-CN"/>
        </w:rPr>
        <w:t>+t</w:t>
      </w:r>
      <w:r>
        <w:rPr>
          <w:rFonts w:hint="eastAsia"/>
          <w:color w:val="auto"/>
          <w:highlight w:val="none"/>
          <w:vertAlign w:val="subscript"/>
          <w:lang w:val="en-US" w:eastAsia="zh-CN"/>
        </w:rPr>
        <w:t>2</w:t>
      </w:r>
      <w:r>
        <w:rPr>
          <w:color w:val="auto"/>
          <w:highlight w:val="none"/>
        </w:rPr>
        <w:t>；</w:t>
      </w:r>
    </w:p>
    <w:p>
      <w:pPr>
        <w:pStyle w:val="30"/>
        <w:rPr>
          <w:rFonts w:hint="default" w:eastAsia="宋体"/>
          <w:color w:val="auto"/>
          <w:sz w:val="28"/>
          <w:szCs w:val="24"/>
          <w:highlight w:val="none"/>
          <w:lang w:val="en-US" w:eastAsia="zh-CN"/>
        </w:rPr>
      </w:pPr>
      <w:r>
        <w:rPr>
          <w:rFonts w:hint="eastAsia"/>
          <w:color w:val="auto"/>
          <w:highlight w:val="none"/>
          <w:lang w:val="en-US" w:eastAsia="zh-CN"/>
        </w:rPr>
        <w:t xml:space="preserve">                     </w:t>
      </w:r>
      <w:r>
        <w:rPr>
          <w:rFonts w:hint="eastAsia"/>
          <w:color w:val="auto"/>
          <w:sz w:val="24"/>
          <w:szCs w:val="22"/>
          <w:highlight w:val="none"/>
          <w:lang w:val="en-US" w:eastAsia="zh-CN"/>
        </w:rPr>
        <w:t xml:space="preserve"> </w:t>
      </w:r>
      <w:r>
        <w:rPr>
          <w:rFonts w:hint="eastAsia"/>
          <w:color w:val="auto"/>
          <w:sz w:val="28"/>
          <w:szCs w:val="24"/>
          <w:highlight w:val="none"/>
          <w:lang w:val="en-US" w:eastAsia="zh-CN"/>
        </w:rPr>
        <w:t>t</w:t>
      </w:r>
      <w:r>
        <w:rPr>
          <w:rFonts w:hint="eastAsia"/>
          <w:color w:val="auto"/>
          <w:sz w:val="28"/>
          <w:szCs w:val="24"/>
          <w:highlight w:val="none"/>
          <w:vertAlign w:val="subscript"/>
          <w:lang w:val="en-US" w:eastAsia="zh-CN"/>
        </w:rPr>
        <w:t>1</w:t>
      </w:r>
      <w:r>
        <w:rPr>
          <w:rFonts w:hint="eastAsia"/>
          <w:color w:val="auto"/>
          <w:sz w:val="28"/>
          <w:szCs w:val="24"/>
          <w:highlight w:val="none"/>
          <w:vertAlign w:val="baseline"/>
          <w:lang w:val="en-US" w:eastAsia="zh-CN"/>
        </w:rPr>
        <w:t>=地面集水时间，取5~10min；</w:t>
      </w:r>
    </w:p>
    <w:p>
      <w:pPr>
        <w:pStyle w:val="30"/>
        <w:rPr>
          <w:rFonts w:hint="default" w:eastAsia="宋体"/>
          <w:color w:val="auto"/>
          <w:highlight w:val="none"/>
          <w:lang w:val="en-US" w:eastAsia="zh-CN"/>
        </w:rPr>
      </w:pPr>
      <w:r>
        <w:rPr>
          <w:rFonts w:hint="eastAsia"/>
          <w:color w:val="auto"/>
          <w:highlight w:val="none"/>
          <w:lang w:val="en-US" w:eastAsia="zh-CN"/>
        </w:rPr>
        <w:t xml:space="preserve">                      </w:t>
      </w:r>
      <w:r>
        <w:rPr>
          <w:rFonts w:hint="eastAsia"/>
          <w:color w:val="auto"/>
          <w:sz w:val="28"/>
          <w:szCs w:val="24"/>
          <w:highlight w:val="none"/>
          <w:lang w:val="en-US" w:eastAsia="zh-CN"/>
        </w:rPr>
        <w:t>t</w:t>
      </w:r>
      <w:r>
        <w:rPr>
          <w:rFonts w:hint="eastAsia"/>
          <w:color w:val="auto"/>
          <w:sz w:val="28"/>
          <w:szCs w:val="24"/>
          <w:highlight w:val="none"/>
          <w:vertAlign w:val="subscript"/>
          <w:lang w:val="en-US" w:eastAsia="zh-CN"/>
        </w:rPr>
        <w:t>2</w:t>
      </w:r>
      <w:r>
        <w:rPr>
          <w:rFonts w:hint="eastAsia"/>
          <w:color w:val="auto"/>
          <w:sz w:val="28"/>
          <w:szCs w:val="24"/>
          <w:highlight w:val="none"/>
          <w:vertAlign w:val="baseline"/>
          <w:lang w:val="en-US" w:eastAsia="zh-CN"/>
        </w:rPr>
        <w:t>=排水管内雨水流行时间，根据管长与流速综合确定；</w:t>
      </w:r>
    </w:p>
    <w:p>
      <w:pPr>
        <w:kinsoku/>
        <w:wordWrap/>
        <w:overflowPunct/>
        <w:topLinePunct w:val="0"/>
        <w:bidi w:val="0"/>
        <w:adjustRightInd w:val="0"/>
        <w:snapToGrid w:val="0"/>
        <w:spacing w:line="360" w:lineRule="auto"/>
        <w:rPr>
          <w:color w:val="auto"/>
        </w:rPr>
      </w:pPr>
      <w:r>
        <w:rPr>
          <w:color w:val="auto"/>
        </w:rPr>
        <w:t xml:space="preserve"> </w:t>
      </w:r>
      <w:r>
        <w:rPr>
          <w:rFonts w:hint="eastAsia"/>
          <w:color w:val="auto"/>
          <w:lang w:val="en-US" w:eastAsia="zh-CN"/>
        </w:rPr>
        <w:t xml:space="preserve">     F</w:t>
      </w:r>
      <w:r>
        <w:rPr>
          <w:color w:val="auto"/>
        </w:rPr>
        <w:t>—</w:t>
      </w:r>
      <w:r>
        <w:rPr>
          <w:rFonts w:hint="eastAsia"/>
          <w:color w:val="auto"/>
          <w:lang w:eastAsia="zh-CN"/>
        </w:rPr>
        <w:t>汇水面积，</w:t>
      </w:r>
      <w:r>
        <w:rPr>
          <w:rFonts w:hint="eastAsia"/>
          <w:color w:val="auto"/>
          <w:lang w:val="en-US" w:eastAsia="zh-CN"/>
        </w:rPr>
        <w:t>m</w:t>
      </w:r>
      <w:r>
        <w:rPr>
          <w:rFonts w:hint="eastAsia"/>
          <w:color w:val="auto"/>
          <w:vertAlign w:val="superscript"/>
          <w:lang w:val="en-US" w:eastAsia="zh-CN"/>
        </w:rPr>
        <w:t>2</w:t>
      </w:r>
      <w:r>
        <w:rPr>
          <w:rFonts w:hint="eastAsia"/>
          <w:color w:val="auto"/>
          <w:lang w:val="en-US" w:eastAsia="zh-CN"/>
        </w:rPr>
        <w:t>；</w:t>
      </w:r>
    </w:p>
    <w:p>
      <w:pPr>
        <w:kinsoku/>
        <w:wordWrap/>
        <w:overflowPunct/>
        <w:topLinePunct w:val="0"/>
        <w:bidi w:val="0"/>
        <w:adjustRightInd w:val="0"/>
        <w:snapToGrid w:val="0"/>
        <w:spacing w:line="360" w:lineRule="auto"/>
        <w:rPr>
          <w:rFonts w:hint="eastAsia"/>
          <w:color w:val="auto"/>
          <w:lang w:val="en-US" w:eastAsia="zh-CN"/>
        </w:rPr>
      </w:pPr>
      <w:r>
        <w:rPr>
          <w:rFonts w:hint="eastAsia"/>
          <w:color w:val="auto"/>
          <w:lang w:val="en-US" w:eastAsia="zh-CN"/>
        </w:rPr>
        <w:t xml:space="preserve">      ψ1—综合径流系数，按上文取值；</w:t>
      </w:r>
    </w:p>
    <w:p>
      <w:pPr>
        <w:rPr>
          <w:rFonts w:hint="eastAsia"/>
          <w:color w:val="auto"/>
          <w:lang w:eastAsia="zh-CN"/>
        </w:rPr>
      </w:pPr>
      <w:r>
        <w:rPr>
          <w:rFonts w:hint="eastAsia"/>
          <w:color w:val="auto"/>
          <w:lang w:eastAsia="zh-CN"/>
        </w:rPr>
        <w:t>根据现场踏勘管渠规格及坡度，可确定各汇水分区内管道排水能力；故校核计算过程及校核结果如下：</w:t>
      </w:r>
    </w:p>
    <w:p>
      <w:pPr>
        <w:pStyle w:val="41"/>
        <w:keepNext/>
        <w:keepLines w:val="0"/>
        <w:pageBreakBefore w:val="0"/>
        <w:widowControl w:val="0"/>
        <w:numPr>
          <w:ilvl w:val="7"/>
          <w:numId w:val="23"/>
        </w:numPr>
        <w:kinsoku/>
        <w:wordWrap/>
        <w:overflowPunct/>
        <w:topLinePunct w:val="0"/>
        <w:autoSpaceDE/>
        <w:autoSpaceDN/>
        <w:bidi w:val="0"/>
        <w:adjustRightInd/>
        <w:snapToGrid/>
        <w:ind w:left="0" w:leftChars="0" w:firstLine="0" w:firstLineChars="0"/>
        <w:textAlignment w:val="auto"/>
        <w:rPr>
          <w:rFonts w:hint="eastAsia" w:eastAsia="宋体"/>
          <w:color w:val="auto"/>
          <w:lang w:eastAsia="zh-CN"/>
        </w:rPr>
      </w:pPr>
      <w:r>
        <w:rPr>
          <w:rFonts w:hint="eastAsia"/>
          <w:color w:val="auto"/>
          <w:highlight w:val="none"/>
          <w:lang w:eastAsia="zh-CN"/>
        </w:rPr>
        <w:t>降雨历时计算表</w:t>
      </w:r>
    </w:p>
    <w:tbl>
      <w:tblPr>
        <w:tblStyle w:val="31"/>
        <w:tblW w:w="759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237"/>
        <w:gridCol w:w="1633"/>
        <w:gridCol w:w="805"/>
        <w:gridCol w:w="762"/>
        <w:gridCol w:w="1883"/>
        <w:gridCol w:w="127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jc w:val="center"/>
        </w:trPr>
        <w:tc>
          <w:tcPr>
            <w:tcW w:w="12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汇水分区</w:t>
            </w:r>
          </w:p>
        </w:tc>
        <w:tc>
          <w:tcPr>
            <w:tcW w:w="163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地面集水时间（t1）min</w:t>
            </w:r>
          </w:p>
        </w:tc>
        <w:tc>
          <w:tcPr>
            <w:tcW w:w="80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管长m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流速m/s</w:t>
            </w:r>
          </w:p>
        </w:tc>
        <w:tc>
          <w:tcPr>
            <w:tcW w:w="18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排水管内雨水流行时间（t2）min</w:t>
            </w:r>
          </w:p>
        </w:tc>
        <w:tc>
          <w:tcPr>
            <w:tcW w:w="127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降雨历时（t）min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12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①</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80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289</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0.81</w:t>
            </w:r>
          </w:p>
        </w:tc>
        <w:tc>
          <w:tcPr>
            <w:tcW w:w="18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5.94</w:t>
            </w:r>
          </w:p>
        </w:tc>
        <w:tc>
          <w:tcPr>
            <w:tcW w:w="12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10.94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12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②</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80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515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1.66</w:t>
            </w:r>
          </w:p>
        </w:tc>
        <w:tc>
          <w:tcPr>
            <w:tcW w:w="18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5.17</w:t>
            </w:r>
          </w:p>
        </w:tc>
        <w:tc>
          <w:tcPr>
            <w:tcW w:w="12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10.17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12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③</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80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328</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0.82</w:t>
            </w:r>
          </w:p>
        </w:tc>
        <w:tc>
          <w:tcPr>
            <w:tcW w:w="18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6.67</w:t>
            </w:r>
          </w:p>
        </w:tc>
        <w:tc>
          <w:tcPr>
            <w:tcW w:w="12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11.67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12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④</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80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511</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1.66</w:t>
            </w:r>
          </w:p>
        </w:tc>
        <w:tc>
          <w:tcPr>
            <w:tcW w:w="18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5.13</w:t>
            </w:r>
          </w:p>
        </w:tc>
        <w:tc>
          <w:tcPr>
            <w:tcW w:w="12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10.13</w:t>
            </w:r>
          </w:p>
        </w:tc>
      </w:tr>
    </w:tbl>
    <w:p>
      <w:pPr>
        <w:pStyle w:val="41"/>
        <w:numPr>
          <w:ilvl w:val="7"/>
          <w:numId w:val="9"/>
        </w:numPr>
        <w:bidi w:val="0"/>
        <w:ind w:left="0" w:leftChars="0" w:firstLine="0" w:firstLineChars="0"/>
        <w:rPr>
          <w:rFonts w:hint="eastAsia"/>
          <w:color w:val="auto"/>
          <w:lang w:val="en-US" w:eastAsia="zh-CN"/>
        </w:rPr>
      </w:pPr>
      <w:r>
        <w:rPr>
          <w:rFonts w:hint="eastAsia"/>
          <w:color w:val="auto"/>
          <w:lang w:val="en-US" w:eastAsia="zh-CN"/>
        </w:rPr>
        <w:t>雨水量计算及排水能力校核</w:t>
      </w:r>
    </w:p>
    <w:tbl>
      <w:tblPr>
        <w:tblStyle w:val="31"/>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99"/>
        <w:gridCol w:w="892"/>
        <w:gridCol w:w="803"/>
        <w:gridCol w:w="1096"/>
        <w:gridCol w:w="1194"/>
        <w:gridCol w:w="1183"/>
        <w:gridCol w:w="1566"/>
        <w:gridCol w:w="16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blHeader/>
        </w:trPr>
        <w:tc>
          <w:tcPr>
            <w:tcW w:w="48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汇水分区</w:t>
            </w:r>
          </w:p>
        </w:tc>
        <w:tc>
          <w:tcPr>
            <w:tcW w:w="4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面积</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（hm</w:t>
            </w:r>
            <w:r>
              <w:rPr>
                <w:rFonts w:hint="eastAsia" w:ascii="宋体" w:hAnsi="宋体" w:eastAsia="宋体" w:cs="宋体"/>
                <w:i w:val="0"/>
                <w:iCs w:val="0"/>
                <w:color w:val="auto"/>
                <w:kern w:val="0"/>
                <w:sz w:val="20"/>
                <w:szCs w:val="20"/>
                <w:u w:val="none"/>
                <w:lang w:val="en-US" w:eastAsia="zh-CN" w:bidi="ar"/>
              </w:rPr>
              <w:t>2</w:t>
            </w:r>
            <w:r>
              <w:rPr>
                <w:rFonts w:hint="eastAsia" w:ascii="宋体" w:hAnsi="宋体" w:eastAsia="宋体" w:cs="宋体"/>
                <w:i w:val="0"/>
                <w:iCs w:val="0"/>
                <w:color w:val="auto"/>
                <w:kern w:val="0"/>
                <w:sz w:val="22"/>
                <w:szCs w:val="22"/>
                <w:u w:val="none"/>
                <w:lang w:val="en-US" w:eastAsia="zh-CN" w:bidi="ar"/>
              </w:rPr>
              <w:t>）</w:t>
            </w:r>
          </w:p>
        </w:tc>
        <w:tc>
          <w:tcPr>
            <w:tcW w:w="4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降雨历时</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(min）</w:t>
            </w:r>
          </w:p>
        </w:tc>
        <w:tc>
          <w:tcPr>
            <w:tcW w:w="5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暴雨强度</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(L/s.hm2)</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径流系数Ψ</w:t>
            </w:r>
          </w:p>
        </w:tc>
        <w:tc>
          <w:tcPr>
            <w:tcW w:w="6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雨水流量</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(L/S)</w:t>
            </w:r>
          </w:p>
        </w:tc>
        <w:tc>
          <w:tcPr>
            <w:tcW w:w="8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沟渠规格</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（mm）</w:t>
            </w:r>
          </w:p>
        </w:tc>
        <w:tc>
          <w:tcPr>
            <w:tcW w:w="9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最大排水能力</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(L/S)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48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①</w:t>
            </w:r>
          </w:p>
        </w:tc>
        <w:tc>
          <w:tcPr>
            <w:tcW w:w="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8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宋体" w:hAnsi="宋体" w:eastAsia="宋体" w:cs="宋体"/>
                <w:i w:val="0"/>
                <w:iCs w:val="0"/>
                <w:color w:val="auto"/>
                <w:sz w:val="22"/>
                <w:szCs w:val="22"/>
                <w:u w:val="none"/>
                <w:lang w:val="en-US"/>
              </w:rPr>
            </w:pPr>
            <w:r>
              <w:rPr>
                <w:rFonts w:hint="eastAsia" w:ascii="宋体" w:hAnsi="宋体" w:eastAsia="宋体" w:cs="宋体"/>
                <w:i w:val="0"/>
                <w:iCs w:val="0"/>
                <w:color w:val="000000"/>
                <w:kern w:val="0"/>
                <w:sz w:val="22"/>
                <w:szCs w:val="22"/>
                <w:u w:val="none"/>
                <w:lang w:val="en-US" w:eastAsia="zh-CN" w:bidi="ar"/>
              </w:rPr>
              <w:t>10.94</w:t>
            </w:r>
          </w:p>
        </w:tc>
        <w:tc>
          <w:tcPr>
            <w:tcW w:w="12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 xml:space="preserve">395.08 </w:t>
            </w:r>
          </w:p>
        </w:tc>
        <w:tc>
          <w:tcPr>
            <w:tcW w:w="13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0.55</w:t>
            </w:r>
          </w:p>
        </w:tc>
        <w:tc>
          <w:tcPr>
            <w:tcW w:w="13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 xml:space="preserve">412.86 </w:t>
            </w:r>
          </w:p>
        </w:tc>
        <w:tc>
          <w:tcPr>
            <w:tcW w:w="17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DN400</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DN600</w:t>
            </w:r>
          </w:p>
        </w:tc>
        <w:tc>
          <w:tcPr>
            <w:tcW w:w="18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450.28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48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②</w:t>
            </w:r>
          </w:p>
        </w:tc>
        <w:tc>
          <w:tcPr>
            <w:tcW w:w="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8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宋体" w:hAnsi="宋体" w:eastAsia="宋体" w:cs="宋体"/>
                <w:i w:val="0"/>
                <w:iCs w:val="0"/>
                <w:color w:val="auto"/>
                <w:sz w:val="22"/>
                <w:szCs w:val="22"/>
                <w:u w:val="none"/>
                <w:lang w:val="en-US"/>
              </w:rPr>
            </w:pPr>
            <w:r>
              <w:rPr>
                <w:rFonts w:hint="eastAsia" w:ascii="宋体" w:hAnsi="宋体" w:eastAsia="宋体" w:cs="宋体"/>
                <w:i w:val="0"/>
                <w:iCs w:val="0"/>
                <w:color w:val="000000"/>
                <w:kern w:val="0"/>
                <w:sz w:val="22"/>
                <w:szCs w:val="22"/>
                <w:u w:val="none"/>
                <w:lang w:val="en-US" w:eastAsia="zh-CN" w:bidi="ar"/>
              </w:rPr>
              <w:t>10.17</w:t>
            </w:r>
          </w:p>
        </w:tc>
        <w:tc>
          <w:tcPr>
            <w:tcW w:w="12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 xml:space="preserve">403.70 </w:t>
            </w:r>
          </w:p>
        </w:tc>
        <w:tc>
          <w:tcPr>
            <w:tcW w:w="13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0.7</w:t>
            </w:r>
          </w:p>
        </w:tc>
        <w:tc>
          <w:tcPr>
            <w:tcW w:w="13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 xml:space="preserve">452.15 </w:t>
            </w:r>
          </w:p>
        </w:tc>
        <w:tc>
          <w:tcPr>
            <w:tcW w:w="1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800x800</w:t>
            </w:r>
          </w:p>
        </w:tc>
        <w:tc>
          <w:tcPr>
            <w:tcW w:w="18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1120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48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③</w:t>
            </w:r>
          </w:p>
        </w:tc>
        <w:tc>
          <w:tcPr>
            <w:tcW w:w="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8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宋体" w:hAnsi="宋体" w:eastAsia="宋体" w:cs="宋体"/>
                <w:i w:val="0"/>
                <w:iCs w:val="0"/>
                <w:color w:val="auto"/>
                <w:sz w:val="22"/>
                <w:szCs w:val="22"/>
                <w:u w:val="none"/>
                <w:lang w:val="en-US"/>
              </w:rPr>
            </w:pPr>
            <w:r>
              <w:rPr>
                <w:rFonts w:hint="eastAsia" w:ascii="宋体" w:hAnsi="宋体" w:eastAsia="宋体" w:cs="宋体"/>
                <w:i w:val="0"/>
                <w:iCs w:val="0"/>
                <w:color w:val="000000"/>
                <w:kern w:val="0"/>
                <w:sz w:val="22"/>
                <w:szCs w:val="22"/>
                <w:u w:val="none"/>
                <w:lang w:val="en-US" w:eastAsia="zh-CN" w:bidi="ar"/>
              </w:rPr>
              <w:t>11.67</w:t>
            </w:r>
          </w:p>
        </w:tc>
        <w:tc>
          <w:tcPr>
            <w:tcW w:w="12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 xml:space="preserve">387.29 </w:t>
            </w:r>
          </w:p>
        </w:tc>
        <w:tc>
          <w:tcPr>
            <w:tcW w:w="13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0.4</w:t>
            </w:r>
          </w:p>
        </w:tc>
        <w:tc>
          <w:tcPr>
            <w:tcW w:w="13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 xml:space="preserve">232.37 </w:t>
            </w:r>
          </w:p>
        </w:tc>
        <w:tc>
          <w:tcPr>
            <w:tcW w:w="1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400x400</w:t>
            </w:r>
          </w:p>
        </w:tc>
        <w:tc>
          <w:tcPr>
            <w:tcW w:w="18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235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31" w:hRule="atLeast"/>
        </w:trPr>
        <w:tc>
          <w:tcPr>
            <w:tcW w:w="48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④</w:t>
            </w:r>
          </w:p>
        </w:tc>
        <w:tc>
          <w:tcPr>
            <w:tcW w:w="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9.3</w:t>
            </w:r>
          </w:p>
        </w:tc>
        <w:tc>
          <w:tcPr>
            <w:tcW w:w="8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宋体" w:hAnsi="宋体" w:eastAsia="宋体" w:cs="宋体"/>
                <w:i w:val="0"/>
                <w:iCs w:val="0"/>
                <w:color w:val="auto"/>
                <w:sz w:val="22"/>
                <w:szCs w:val="22"/>
                <w:u w:val="none"/>
                <w:lang w:val="en-US"/>
              </w:rPr>
            </w:pPr>
            <w:r>
              <w:rPr>
                <w:rFonts w:hint="eastAsia" w:ascii="宋体" w:hAnsi="宋体" w:eastAsia="宋体" w:cs="宋体"/>
                <w:i w:val="0"/>
                <w:iCs w:val="0"/>
                <w:color w:val="000000"/>
                <w:kern w:val="0"/>
                <w:sz w:val="22"/>
                <w:szCs w:val="22"/>
                <w:u w:val="none"/>
                <w:lang w:val="en-US" w:eastAsia="zh-CN" w:bidi="ar"/>
              </w:rPr>
              <w:t>10.13</w:t>
            </w:r>
          </w:p>
        </w:tc>
        <w:tc>
          <w:tcPr>
            <w:tcW w:w="12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 xml:space="preserve">404.16 </w:t>
            </w:r>
          </w:p>
        </w:tc>
        <w:tc>
          <w:tcPr>
            <w:tcW w:w="13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0.6</w:t>
            </w:r>
          </w:p>
        </w:tc>
        <w:tc>
          <w:tcPr>
            <w:tcW w:w="13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 xml:space="preserve">2255.21 </w:t>
            </w:r>
          </w:p>
        </w:tc>
        <w:tc>
          <w:tcPr>
            <w:tcW w:w="17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800x800</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800x1400</w:t>
            </w:r>
          </w:p>
        </w:tc>
        <w:tc>
          <w:tcPr>
            <w:tcW w:w="18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2370</w:t>
            </w:r>
          </w:p>
        </w:tc>
      </w:tr>
    </w:tbl>
    <w:p>
      <w:pPr>
        <w:rPr>
          <w:rFonts w:hint="default"/>
          <w:color w:val="auto"/>
          <w:lang w:val="en-US" w:eastAsia="zh-CN"/>
        </w:rPr>
      </w:pPr>
      <w:r>
        <w:rPr>
          <w:rFonts w:hint="eastAsia"/>
          <w:color w:val="auto"/>
          <w:lang w:eastAsia="zh-CN"/>
        </w:rPr>
        <w:t>其中片区①属于已建成区，近期该流量不会出现较大变化，片区③靠近河岸，部分流量可通过地面漫流流入水体中。</w:t>
      </w:r>
    </w:p>
    <w:p>
      <w:pPr>
        <w:rPr>
          <w:rFonts w:hint="eastAsia"/>
          <w:color w:val="auto"/>
          <w:lang w:eastAsia="zh-CN"/>
        </w:rPr>
      </w:pPr>
      <w:r>
        <w:rPr>
          <w:rFonts w:hint="eastAsia"/>
          <w:color w:val="auto"/>
          <w:lang w:eastAsia="zh-CN"/>
        </w:rPr>
        <w:t>本次现状场地内雨水管道可满足过流能力，且经调研，现状场地内未出现积水、内涝的情况，结合前文相关规划，片区内无新建雨水管道计划，故本次设计沿用现状排水系统作为雨水排水通道。</w:t>
      </w:r>
    </w:p>
    <w:p>
      <w:pPr>
        <w:pStyle w:val="39"/>
        <w:numPr>
          <w:ilvl w:val="1"/>
          <w:numId w:val="18"/>
        </w:numPr>
        <w:rPr>
          <w:rFonts w:cs="宋体" w:asciiTheme="minorEastAsia" w:hAnsiTheme="minorEastAsia" w:eastAsiaTheme="minorEastAsia"/>
          <w:color w:val="auto"/>
          <w:sz w:val="28"/>
          <w:szCs w:val="28"/>
        </w:rPr>
      </w:pPr>
      <w:bookmarkStart w:id="52" w:name="_Toc8818"/>
      <w:r>
        <w:rPr>
          <w:rFonts w:hint="eastAsia" w:cs="宋体" w:asciiTheme="minorEastAsia" w:hAnsiTheme="minorEastAsia" w:eastAsiaTheme="minorEastAsia"/>
          <w:color w:val="auto"/>
          <w:sz w:val="28"/>
          <w:szCs w:val="28"/>
          <w:lang w:eastAsia="zh-CN"/>
        </w:rPr>
        <w:t>竖向设计</w:t>
      </w:r>
      <w:bookmarkEnd w:id="52"/>
    </w:p>
    <w:p>
      <w:pPr>
        <w:rPr>
          <w:rFonts w:hint="eastAsia" w:cs="宋体" w:asciiTheme="minorEastAsia" w:hAnsiTheme="minorEastAsia" w:eastAsiaTheme="minorEastAsia"/>
          <w:color w:val="auto"/>
          <w:sz w:val="28"/>
          <w:szCs w:val="28"/>
          <w:lang w:val="en-US" w:eastAsia="zh-CN"/>
        </w:rPr>
      </w:pPr>
      <w:r>
        <w:rPr>
          <w:rFonts w:hint="eastAsia" w:cs="宋体" w:asciiTheme="minorEastAsia" w:hAnsiTheme="minorEastAsia" w:eastAsiaTheme="minorEastAsia"/>
          <w:color w:val="auto"/>
          <w:sz w:val="28"/>
          <w:szCs w:val="28"/>
          <w:lang w:eastAsia="zh-CN"/>
        </w:rPr>
        <w:t>根据前文《从化区污水专项规划》（</w:t>
      </w:r>
      <w:r>
        <w:rPr>
          <w:rFonts w:hint="eastAsia" w:cs="宋体" w:asciiTheme="minorEastAsia" w:hAnsiTheme="minorEastAsia" w:eastAsiaTheme="minorEastAsia"/>
          <w:color w:val="auto"/>
          <w:sz w:val="28"/>
          <w:szCs w:val="28"/>
          <w:lang w:val="en-US" w:eastAsia="zh-CN"/>
        </w:rPr>
        <w:t>2017-2035</w:t>
      </w:r>
      <w:r>
        <w:rPr>
          <w:rFonts w:hint="eastAsia" w:cs="宋体" w:asciiTheme="minorEastAsia" w:hAnsiTheme="minorEastAsia" w:eastAsiaTheme="minorEastAsia"/>
          <w:color w:val="auto"/>
          <w:sz w:val="28"/>
          <w:szCs w:val="28"/>
          <w:lang w:eastAsia="zh-CN"/>
        </w:rPr>
        <w:t>）中</w:t>
      </w:r>
      <w:r>
        <w:rPr>
          <w:rFonts w:hint="eastAsia" w:cs="宋体" w:asciiTheme="minorEastAsia" w:hAnsiTheme="minorEastAsia" w:eastAsiaTheme="minorEastAsia"/>
          <w:color w:val="auto"/>
          <w:sz w:val="28"/>
          <w:szCs w:val="28"/>
          <w:lang w:val="en-US" w:eastAsia="zh-CN"/>
        </w:rPr>
        <w:t>近期市政污水主管建设规划图，本次项目拟建污水主管布置如下图：</w:t>
      </w:r>
    </w:p>
    <w:p>
      <w:pPr>
        <w:pStyle w:val="12"/>
        <w:ind w:left="0" w:leftChars="0" w:firstLine="0" w:firstLineChars="0"/>
        <w:jc w:val="center"/>
        <w:rPr>
          <w:rFonts w:hint="eastAsia"/>
          <w:color w:val="auto"/>
          <w:lang w:val="en-US" w:eastAsia="zh-CN"/>
        </w:rPr>
      </w:pPr>
      <w:r>
        <w:rPr>
          <w:color w:val="auto"/>
        </w:rPr>
        <w:drawing>
          <wp:inline distT="0" distB="0" distL="114300" distR="114300">
            <wp:extent cx="3762375" cy="4000500"/>
            <wp:effectExtent l="0" t="0" r="9525" b="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70"/>
                    <a:stretch>
                      <a:fillRect/>
                    </a:stretch>
                  </pic:blipFill>
                  <pic:spPr>
                    <a:xfrm>
                      <a:off x="0" y="0"/>
                      <a:ext cx="3762375" cy="4000500"/>
                    </a:xfrm>
                    <a:prstGeom prst="rect">
                      <a:avLst/>
                    </a:prstGeom>
                  </pic:spPr>
                </pic:pic>
              </a:graphicData>
            </a:graphic>
          </wp:inline>
        </w:drawing>
      </w:r>
    </w:p>
    <w:p>
      <w:pPr>
        <w:pStyle w:val="44"/>
        <w:numPr>
          <w:ilvl w:val="8"/>
          <w:numId w:val="9"/>
        </w:numPr>
        <w:bidi w:val="0"/>
        <w:rPr>
          <w:rFonts w:hint="default"/>
          <w:color w:val="auto"/>
          <w:lang w:val="en-US" w:eastAsia="zh-CN"/>
        </w:rPr>
      </w:pPr>
      <w:r>
        <w:rPr>
          <w:rFonts w:hint="eastAsia"/>
          <w:color w:val="auto"/>
          <w:sz w:val="28"/>
          <w:szCs w:val="24"/>
          <w:lang w:val="en-US" w:eastAsia="zh-CN"/>
        </w:rPr>
        <w:t>近期市政污水主管建设规划图</w:t>
      </w:r>
    </w:p>
    <w:p>
      <w:pPr>
        <w:pStyle w:val="12"/>
        <w:rPr>
          <w:rFonts w:hint="eastAsia"/>
          <w:color w:val="auto"/>
          <w:lang w:val="en-US" w:eastAsia="zh-CN"/>
        </w:rPr>
      </w:pPr>
      <w:r>
        <w:rPr>
          <w:rFonts w:hint="eastAsia"/>
          <w:color w:val="auto"/>
          <w:lang w:val="en-US" w:eastAsia="zh-CN"/>
        </w:rPr>
        <w:t>由上图可见规划中仅对该主管与G105国道接驳处提出标高控制，此标高为主管管底标高，故本次设计根据周边各排水单元接驳需要，结合工程场地竖向标高，确定管道的设计标高。各主要节点标高设计如下：</w:t>
      </w:r>
    </w:p>
    <w:p>
      <w:pPr>
        <w:pStyle w:val="13"/>
        <w:ind w:left="0" w:leftChars="0" w:firstLine="0" w:firstLineChars="0"/>
        <w:rPr>
          <w:rFonts w:hint="default"/>
          <w:color w:val="auto"/>
          <w:lang w:val="en-US" w:eastAsia="zh-CN"/>
        </w:rPr>
      </w:pPr>
      <w:r>
        <w:drawing>
          <wp:inline distT="0" distB="0" distL="114300" distR="114300">
            <wp:extent cx="5989320" cy="5558155"/>
            <wp:effectExtent l="0" t="0" r="11430" b="4445"/>
            <wp:docPr id="1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2"/>
                    <pic:cNvPicPr>
                      <a:picLocks noChangeAspect="1"/>
                    </pic:cNvPicPr>
                  </pic:nvPicPr>
                  <pic:blipFill>
                    <a:blip r:embed="rId59"/>
                    <a:stretch>
                      <a:fillRect/>
                    </a:stretch>
                  </pic:blipFill>
                  <pic:spPr>
                    <a:xfrm>
                      <a:off x="0" y="0"/>
                      <a:ext cx="5989320" cy="5558155"/>
                    </a:xfrm>
                    <a:prstGeom prst="rect">
                      <a:avLst/>
                    </a:prstGeom>
                    <a:noFill/>
                    <a:ln>
                      <a:noFill/>
                    </a:ln>
                  </pic:spPr>
                </pic:pic>
              </a:graphicData>
            </a:graphic>
          </wp:inline>
        </w:drawing>
      </w:r>
    </w:p>
    <w:p>
      <w:pPr>
        <w:pStyle w:val="44"/>
        <w:numPr>
          <w:ilvl w:val="8"/>
          <w:numId w:val="9"/>
        </w:numPr>
        <w:bidi w:val="0"/>
        <w:rPr>
          <w:rFonts w:hint="default"/>
          <w:color w:val="auto"/>
          <w:lang w:val="en-US" w:eastAsia="zh-CN"/>
        </w:rPr>
      </w:pPr>
      <w:r>
        <w:rPr>
          <w:rFonts w:hint="eastAsia"/>
          <w:color w:val="auto"/>
          <w:sz w:val="28"/>
          <w:szCs w:val="24"/>
          <w:lang w:val="en-US" w:eastAsia="zh-CN"/>
        </w:rPr>
        <w:t>污水主管竖向标高设计图</w:t>
      </w:r>
    </w:p>
    <w:p>
      <w:pPr>
        <w:rPr>
          <w:rFonts w:hint="default"/>
          <w:color w:val="auto"/>
          <w:lang w:val="en-US" w:eastAsia="zh-CN"/>
        </w:rPr>
      </w:pPr>
      <w:r>
        <w:rPr>
          <w:rFonts w:hint="eastAsia"/>
          <w:color w:val="auto"/>
          <w:sz w:val="28"/>
          <w:szCs w:val="24"/>
          <w:lang w:val="en-US" w:eastAsia="zh-CN"/>
        </w:rPr>
        <w:t>经复核现状市政主管标高及各排水单元标高，G105国道现状标高可满足本次新建污水主管接驳需要。中段接近罗洞路口处反坡，两侧属罗洞村农户住户化粪池标高低于道路路面标高3-4米，且各巷道狭小，无法开挖，此处污水应采用强排，其余沿线各主要排水户可重力流接驳本次新建污水主管。</w:t>
      </w:r>
    </w:p>
    <w:p>
      <w:pPr>
        <w:pStyle w:val="39"/>
        <w:numPr>
          <w:ilvl w:val="1"/>
          <w:numId w:val="18"/>
        </w:numPr>
        <w:rPr>
          <w:rFonts w:cs="宋体" w:asciiTheme="minorEastAsia" w:hAnsiTheme="minorEastAsia" w:eastAsiaTheme="minorEastAsia"/>
          <w:color w:val="auto"/>
          <w:sz w:val="28"/>
          <w:szCs w:val="28"/>
        </w:rPr>
      </w:pPr>
      <w:bookmarkStart w:id="53" w:name="_Toc11538"/>
      <w:r>
        <w:rPr>
          <w:rFonts w:hint="eastAsia" w:cs="宋体" w:asciiTheme="minorEastAsia" w:hAnsiTheme="minorEastAsia" w:eastAsiaTheme="minorEastAsia"/>
          <w:color w:val="auto"/>
          <w:sz w:val="28"/>
          <w:szCs w:val="28"/>
          <w:lang w:eastAsia="zh-CN"/>
        </w:rPr>
        <w:t>与周边雨污分流工作的衔接</w:t>
      </w:r>
      <w:bookmarkEnd w:id="53"/>
    </w:p>
    <w:p>
      <w:pPr>
        <w:pStyle w:val="40"/>
        <w:numPr>
          <w:ilvl w:val="2"/>
          <w:numId w:val="9"/>
        </w:numPr>
        <w:bidi w:val="0"/>
        <w:rPr>
          <w:rFonts w:hint="eastAsia" w:eastAsia="宋体"/>
          <w:color w:val="auto"/>
          <w:lang w:val="en-US" w:eastAsia="zh-CN"/>
        </w:rPr>
      </w:pPr>
      <w:r>
        <w:rPr>
          <w:rFonts w:hint="eastAsia" w:eastAsia="宋体"/>
          <w:color w:val="auto"/>
          <w:lang w:val="en-US" w:eastAsia="zh-CN"/>
        </w:rPr>
        <w:t>排水单元分类</w:t>
      </w:r>
    </w:p>
    <w:p>
      <w:pPr>
        <w:rPr>
          <w:rFonts w:hint="default" w:cs="宋体"/>
          <w:color w:val="auto"/>
          <w:sz w:val="28"/>
          <w:szCs w:val="21"/>
          <w:lang w:val="en-US"/>
        </w:rPr>
      </w:pPr>
      <w:r>
        <w:rPr>
          <w:rFonts w:hint="eastAsia" w:cs="宋体" w:asciiTheme="minorEastAsia" w:hAnsiTheme="minorEastAsia" w:eastAsiaTheme="minorEastAsia"/>
          <w:color w:val="auto"/>
          <w:sz w:val="28"/>
          <w:szCs w:val="21"/>
          <w:lang w:val="en-US" w:eastAsia="zh-CN"/>
        </w:rPr>
        <w:t>1.工业区</w:t>
      </w:r>
    </w:p>
    <w:p>
      <w:pPr>
        <w:pStyle w:val="12"/>
        <w:numPr>
          <w:ilvl w:val="0"/>
          <w:numId w:val="24"/>
        </w:numPr>
        <w:rPr>
          <w:rFonts w:hint="eastAsia" w:cs="宋体"/>
          <w:color w:val="auto"/>
          <w:sz w:val="28"/>
          <w:szCs w:val="21"/>
          <w:lang w:val="en-US" w:eastAsia="zh-CN"/>
        </w:rPr>
      </w:pPr>
      <w:r>
        <w:rPr>
          <w:rFonts w:hint="eastAsia" w:cs="宋体" w:asciiTheme="minorEastAsia" w:hAnsiTheme="minorEastAsia" w:eastAsiaTheme="minorEastAsia"/>
          <w:color w:val="auto"/>
          <w:kern w:val="0"/>
          <w:sz w:val="28"/>
          <w:szCs w:val="21"/>
          <w:lang w:val="sq-AL"/>
        </w:rPr>
        <w:t>本项目中各村建设范围内的工业区内部的雨污分流工作根据《广州市总河长令（第4号）》，商业企业应由其自行实施，本项目涉及的企业有</w:t>
      </w:r>
      <w:r>
        <w:rPr>
          <w:rFonts w:hint="eastAsia" w:cs="宋体" w:asciiTheme="minorEastAsia" w:hAnsiTheme="minorEastAsia" w:eastAsiaTheme="minorEastAsia"/>
          <w:color w:val="auto"/>
          <w:kern w:val="0"/>
          <w:sz w:val="28"/>
          <w:szCs w:val="21"/>
          <w:lang w:val="sq-AL" w:eastAsia="zh-CN"/>
        </w:rPr>
        <w:t>：</w:t>
      </w:r>
      <w:r>
        <w:rPr>
          <w:rFonts w:hint="eastAsia" w:cs="宋体" w:asciiTheme="minorEastAsia" w:hAnsiTheme="minorEastAsia" w:eastAsiaTheme="minorEastAsia"/>
          <w:color w:val="auto"/>
          <w:kern w:val="0"/>
          <w:sz w:val="28"/>
          <w:szCs w:val="21"/>
          <w:lang w:val="en-US" w:eastAsia="zh-CN"/>
        </w:rPr>
        <w:t>01</w:t>
      </w:r>
      <w:r>
        <w:rPr>
          <w:rFonts w:hint="eastAsia" w:cs="宋体" w:asciiTheme="minorEastAsia" w:hAnsiTheme="minorEastAsia" w:eastAsiaTheme="minorEastAsia"/>
          <w:color w:val="auto"/>
          <w:kern w:val="0"/>
          <w:sz w:val="28"/>
          <w:szCs w:val="21"/>
          <w:lang w:val="sq-AL"/>
        </w:rPr>
        <w:t>广州天马摩托车配件厂、</w:t>
      </w:r>
      <w:r>
        <w:rPr>
          <w:rFonts w:hint="eastAsia" w:cs="宋体" w:asciiTheme="minorEastAsia" w:hAnsiTheme="minorEastAsia" w:eastAsiaTheme="minorEastAsia"/>
          <w:color w:val="auto"/>
          <w:kern w:val="0"/>
          <w:sz w:val="28"/>
          <w:szCs w:val="21"/>
          <w:lang w:val="en-US" w:eastAsia="zh-CN"/>
        </w:rPr>
        <w:t>02</w:t>
      </w:r>
      <w:r>
        <w:rPr>
          <w:rFonts w:hint="eastAsia" w:cs="宋体" w:asciiTheme="minorEastAsia" w:hAnsiTheme="minorEastAsia" w:eastAsiaTheme="minorEastAsia"/>
          <w:color w:val="auto"/>
          <w:kern w:val="0"/>
          <w:sz w:val="28"/>
          <w:szCs w:val="21"/>
          <w:lang w:val="sq-AL"/>
        </w:rPr>
        <w:t>信平电子电路板厂、</w:t>
      </w:r>
      <w:r>
        <w:rPr>
          <w:rFonts w:hint="eastAsia" w:cs="宋体" w:asciiTheme="minorEastAsia" w:hAnsiTheme="minorEastAsia" w:eastAsiaTheme="minorEastAsia"/>
          <w:color w:val="auto"/>
          <w:kern w:val="0"/>
          <w:sz w:val="28"/>
          <w:szCs w:val="21"/>
          <w:lang w:val="en-US" w:eastAsia="zh-CN"/>
        </w:rPr>
        <w:t>03</w:t>
      </w:r>
      <w:r>
        <w:rPr>
          <w:rFonts w:hint="eastAsia" w:cs="宋体" w:asciiTheme="minorEastAsia" w:hAnsiTheme="minorEastAsia" w:eastAsiaTheme="minorEastAsia"/>
          <w:color w:val="auto"/>
          <w:kern w:val="0"/>
          <w:sz w:val="28"/>
          <w:szCs w:val="21"/>
          <w:lang w:val="sq-AL"/>
        </w:rPr>
        <w:t>松峰机械、</w:t>
      </w:r>
      <w:r>
        <w:rPr>
          <w:rFonts w:hint="eastAsia" w:cs="宋体" w:asciiTheme="minorEastAsia" w:hAnsiTheme="minorEastAsia" w:eastAsiaTheme="minorEastAsia"/>
          <w:color w:val="auto"/>
          <w:kern w:val="0"/>
          <w:sz w:val="28"/>
          <w:szCs w:val="21"/>
          <w:lang w:val="en-US" w:eastAsia="zh-CN"/>
        </w:rPr>
        <w:t>04</w:t>
      </w:r>
      <w:r>
        <w:rPr>
          <w:rFonts w:hint="eastAsia" w:cs="宋体" w:asciiTheme="minorEastAsia" w:hAnsiTheme="minorEastAsia" w:eastAsiaTheme="minorEastAsia"/>
          <w:color w:val="auto"/>
          <w:kern w:val="0"/>
          <w:sz w:val="28"/>
          <w:szCs w:val="21"/>
          <w:lang w:val="sq-AL"/>
        </w:rPr>
        <w:t>广东康尔医疗科技有限公司、</w:t>
      </w:r>
      <w:r>
        <w:rPr>
          <w:rFonts w:hint="eastAsia" w:cs="宋体" w:asciiTheme="minorEastAsia" w:hAnsiTheme="minorEastAsia" w:eastAsiaTheme="minorEastAsia"/>
          <w:color w:val="auto"/>
          <w:kern w:val="0"/>
          <w:sz w:val="28"/>
          <w:szCs w:val="21"/>
          <w:lang w:val="en-US" w:eastAsia="zh-CN"/>
        </w:rPr>
        <w:t>05</w:t>
      </w:r>
      <w:r>
        <w:rPr>
          <w:rFonts w:hint="eastAsia" w:cs="宋体" w:asciiTheme="minorEastAsia" w:hAnsiTheme="minorEastAsia" w:eastAsiaTheme="minorEastAsia"/>
          <w:color w:val="auto"/>
          <w:kern w:val="0"/>
          <w:sz w:val="28"/>
          <w:szCs w:val="21"/>
          <w:lang w:val="sq-AL"/>
        </w:rPr>
        <w:t>广州景信针织制衣有限公司、</w:t>
      </w:r>
      <w:r>
        <w:rPr>
          <w:rFonts w:hint="eastAsia" w:cs="宋体" w:asciiTheme="minorEastAsia" w:hAnsiTheme="minorEastAsia" w:eastAsiaTheme="minorEastAsia"/>
          <w:color w:val="auto"/>
          <w:kern w:val="0"/>
          <w:sz w:val="28"/>
          <w:szCs w:val="21"/>
          <w:lang w:val="en-US" w:eastAsia="zh-CN"/>
        </w:rPr>
        <w:t>06</w:t>
      </w:r>
      <w:r>
        <w:rPr>
          <w:rFonts w:hint="eastAsia" w:cs="宋体" w:asciiTheme="minorEastAsia" w:hAnsiTheme="minorEastAsia" w:eastAsiaTheme="minorEastAsia"/>
          <w:color w:val="auto"/>
          <w:kern w:val="0"/>
          <w:sz w:val="28"/>
          <w:szCs w:val="21"/>
          <w:lang w:val="sq-AL"/>
        </w:rPr>
        <w:t>广州骏焱汽车服务有限公司、</w:t>
      </w:r>
      <w:r>
        <w:rPr>
          <w:rFonts w:hint="eastAsia" w:cs="宋体" w:asciiTheme="minorEastAsia" w:hAnsiTheme="minorEastAsia" w:eastAsiaTheme="minorEastAsia"/>
          <w:color w:val="auto"/>
          <w:kern w:val="0"/>
          <w:sz w:val="28"/>
          <w:szCs w:val="21"/>
          <w:lang w:val="en-US" w:eastAsia="zh-CN"/>
        </w:rPr>
        <w:t>07</w:t>
      </w:r>
      <w:r>
        <w:rPr>
          <w:rFonts w:hint="eastAsia" w:cs="宋体" w:asciiTheme="minorEastAsia" w:hAnsiTheme="minorEastAsia" w:eastAsiaTheme="minorEastAsia"/>
          <w:color w:val="auto"/>
          <w:kern w:val="0"/>
          <w:sz w:val="28"/>
          <w:szCs w:val="21"/>
          <w:lang w:val="sq-AL"/>
        </w:rPr>
        <w:t>广州市壹帆交通设施有限公司、</w:t>
      </w:r>
      <w:r>
        <w:rPr>
          <w:rFonts w:hint="eastAsia" w:cs="宋体" w:asciiTheme="minorEastAsia" w:hAnsiTheme="minorEastAsia" w:eastAsiaTheme="minorEastAsia"/>
          <w:color w:val="auto"/>
          <w:kern w:val="0"/>
          <w:sz w:val="28"/>
          <w:szCs w:val="21"/>
          <w:lang w:val="en-US" w:eastAsia="zh-CN"/>
        </w:rPr>
        <w:t>08</w:t>
      </w:r>
      <w:r>
        <w:rPr>
          <w:rFonts w:hint="eastAsia" w:cs="宋体" w:asciiTheme="minorEastAsia" w:hAnsiTheme="minorEastAsia" w:eastAsiaTheme="minorEastAsia"/>
          <w:color w:val="auto"/>
          <w:kern w:val="0"/>
          <w:sz w:val="28"/>
          <w:szCs w:val="21"/>
          <w:lang w:val="sq-AL"/>
        </w:rPr>
        <w:t>广州市家富食品有限公司。本次污水收集管道建设中，在工业区的各企业周边主要道路预留其污水接驳口，在大门周边设置污水接驳口。另外，建议工业区各企业自行建设的雨污分流改造工作与本次项目同步实施</w:t>
      </w:r>
      <w:r>
        <w:rPr>
          <w:rFonts w:hint="eastAsia" w:cs="宋体" w:asciiTheme="minorEastAsia" w:hAnsiTheme="minorEastAsia" w:eastAsiaTheme="minorEastAsia"/>
          <w:color w:val="auto"/>
          <w:kern w:val="0"/>
          <w:sz w:val="28"/>
          <w:szCs w:val="21"/>
          <w:lang w:val="sq-AL" w:eastAsia="zh-CN"/>
        </w:rPr>
        <w:t>。</w:t>
      </w:r>
    </w:p>
    <w:p>
      <w:pPr>
        <w:pStyle w:val="12"/>
        <w:numPr>
          <w:ilvl w:val="0"/>
          <w:numId w:val="24"/>
        </w:numPr>
        <w:rPr>
          <w:rFonts w:hint="eastAsia" w:cs="宋体"/>
          <w:color w:val="auto"/>
          <w:sz w:val="28"/>
          <w:szCs w:val="21"/>
          <w:lang w:val="en-US" w:eastAsia="zh-CN"/>
        </w:rPr>
      </w:pPr>
      <w:r>
        <w:rPr>
          <w:rFonts w:hint="eastAsia" w:cs="宋体"/>
          <w:color w:val="auto"/>
          <w:sz w:val="28"/>
          <w:szCs w:val="21"/>
          <w:lang w:val="en-US" w:eastAsia="zh-CN"/>
        </w:rPr>
        <w:t>机关事业单位、学校</w:t>
      </w:r>
    </w:p>
    <w:p>
      <w:pPr>
        <w:pStyle w:val="12"/>
        <w:numPr>
          <w:ilvl w:val="0"/>
          <w:numId w:val="0"/>
        </w:numPr>
        <w:ind w:firstLine="565"/>
        <w:rPr>
          <w:rFonts w:hint="eastAsia" w:cs="宋体" w:asciiTheme="minorEastAsia" w:hAnsiTheme="minorEastAsia" w:eastAsiaTheme="minorEastAsia"/>
          <w:color w:val="auto"/>
          <w:kern w:val="0"/>
          <w:sz w:val="28"/>
          <w:szCs w:val="21"/>
          <w:lang w:val="sq-AL" w:eastAsia="zh-CN"/>
        </w:rPr>
      </w:pPr>
      <w:r>
        <w:rPr>
          <w:rFonts w:hint="eastAsia" w:cs="宋体"/>
          <w:color w:val="auto"/>
          <w:sz w:val="28"/>
          <w:szCs w:val="21"/>
          <w:lang w:val="en-US" w:eastAsia="zh-CN"/>
        </w:rPr>
        <w:t>本项目沿线属该范围的单位有：01从化区公路管理中心附城养护站、02从化区福利院、03从化区救助安置中心、04罗洞小学。根据</w:t>
      </w:r>
      <w:r>
        <w:rPr>
          <w:rFonts w:hint="eastAsia" w:cs="宋体" w:asciiTheme="minorEastAsia" w:hAnsiTheme="minorEastAsia" w:eastAsiaTheme="minorEastAsia"/>
          <w:color w:val="auto"/>
          <w:kern w:val="0"/>
          <w:sz w:val="28"/>
          <w:szCs w:val="21"/>
          <w:lang w:val="sq-AL" w:eastAsia="zh-CN"/>
        </w:rPr>
        <w:t>《广州市总河长令（第</w:t>
      </w:r>
      <w:r>
        <w:rPr>
          <w:rFonts w:hint="eastAsia" w:cs="宋体" w:asciiTheme="minorEastAsia" w:hAnsiTheme="minorEastAsia" w:eastAsiaTheme="minorEastAsia"/>
          <w:color w:val="auto"/>
          <w:kern w:val="0"/>
          <w:sz w:val="28"/>
          <w:szCs w:val="21"/>
          <w:lang w:val="en-US" w:eastAsia="zh-CN"/>
        </w:rPr>
        <w:t>4号</w:t>
      </w:r>
      <w:r>
        <w:rPr>
          <w:rFonts w:hint="eastAsia" w:cs="宋体" w:asciiTheme="minorEastAsia" w:hAnsiTheme="minorEastAsia" w:eastAsiaTheme="minorEastAsia"/>
          <w:color w:val="auto"/>
          <w:kern w:val="0"/>
          <w:sz w:val="28"/>
          <w:szCs w:val="21"/>
          <w:lang w:val="sq-AL" w:eastAsia="zh-CN"/>
        </w:rPr>
        <w:t>）》的要求，应由政府投资资金进行排水单元达标改造。建议将从化区公路管理中心附城养护站、从化区福利院、</w:t>
      </w:r>
      <w:r>
        <w:rPr>
          <w:rFonts w:hint="eastAsia" w:cs="宋体"/>
          <w:color w:val="auto"/>
          <w:sz w:val="28"/>
          <w:szCs w:val="21"/>
          <w:lang w:val="en-US" w:eastAsia="zh-CN"/>
        </w:rPr>
        <w:t>从化区救助安置中心</w:t>
      </w:r>
      <w:r>
        <w:rPr>
          <w:rFonts w:hint="eastAsia" w:cs="宋体" w:asciiTheme="minorEastAsia" w:hAnsiTheme="minorEastAsia" w:eastAsiaTheme="minorEastAsia"/>
          <w:color w:val="auto"/>
          <w:kern w:val="0"/>
          <w:sz w:val="28"/>
          <w:szCs w:val="21"/>
          <w:lang w:val="sq-AL" w:eastAsia="zh-CN"/>
        </w:rPr>
        <w:t>、罗洞小学的排水单元达标改造费用纳入本工程，作为本项目的子项工程同步进行。</w:t>
      </w:r>
    </w:p>
    <w:p>
      <w:pPr>
        <w:pStyle w:val="12"/>
        <w:numPr>
          <w:ilvl w:val="0"/>
          <w:numId w:val="0"/>
        </w:numPr>
        <w:ind w:firstLine="565"/>
        <w:rPr>
          <w:rFonts w:hint="eastAsia" w:eastAsia="宋体" w:cs="宋体"/>
          <w:color w:val="auto"/>
          <w:sz w:val="28"/>
          <w:szCs w:val="21"/>
          <w:lang w:val="en-US" w:eastAsia="zh-CN"/>
        </w:rPr>
      </w:pPr>
      <w:r>
        <w:rPr>
          <w:rFonts w:hint="eastAsia" w:eastAsia="宋体" w:cs="宋体"/>
          <w:color w:val="auto"/>
          <w:sz w:val="28"/>
          <w:szCs w:val="21"/>
          <w:lang w:val="en-US" w:eastAsia="zh-CN"/>
        </w:rPr>
        <w:t>其中罗洞小学属学校，建议改造项目于寒暑假实施，避开学生上学时间段，保障安全施工。</w:t>
      </w:r>
    </w:p>
    <w:p>
      <w:pPr>
        <w:pStyle w:val="12"/>
        <w:numPr>
          <w:ilvl w:val="0"/>
          <w:numId w:val="24"/>
        </w:numPr>
        <w:ind w:left="0" w:leftChars="0" w:firstLine="564" w:firstLineChars="200"/>
        <w:rPr>
          <w:rFonts w:hint="eastAsia" w:cs="宋体"/>
          <w:color w:val="auto"/>
          <w:sz w:val="28"/>
          <w:szCs w:val="21"/>
          <w:lang w:val="en-US" w:eastAsia="zh-CN"/>
        </w:rPr>
      </w:pPr>
      <w:r>
        <w:rPr>
          <w:rFonts w:hint="eastAsia" w:cs="宋体"/>
          <w:color w:val="auto"/>
          <w:sz w:val="28"/>
          <w:szCs w:val="21"/>
          <w:lang w:val="en-US" w:eastAsia="zh-CN"/>
        </w:rPr>
        <w:t>农村区域</w:t>
      </w:r>
    </w:p>
    <w:p>
      <w:pPr>
        <w:pStyle w:val="12"/>
        <w:keepNext w:val="0"/>
        <w:keepLines w:val="0"/>
        <w:pageBreakBefore w:val="0"/>
        <w:widowControl w:val="0"/>
        <w:numPr>
          <w:ilvl w:val="0"/>
          <w:numId w:val="0"/>
        </w:numPr>
        <w:kinsoku/>
        <w:wordWrap/>
        <w:overflowPunct/>
        <w:topLinePunct w:val="0"/>
        <w:autoSpaceDE/>
        <w:autoSpaceDN/>
        <w:bidi w:val="0"/>
        <w:adjustRightInd/>
        <w:snapToGrid/>
        <w:ind w:leftChars="0" w:firstLine="564" w:firstLineChars="200"/>
        <w:textAlignment w:val="auto"/>
        <w:rPr>
          <w:rFonts w:hint="eastAsia" w:cs="宋体"/>
          <w:color w:val="auto"/>
          <w:sz w:val="28"/>
          <w:szCs w:val="21"/>
          <w:lang w:val="en-US" w:eastAsia="zh-CN"/>
        </w:rPr>
      </w:pPr>
      <w:r>
        <w:rPr>
          <w:rFonts w:hint="eastAsia" w:cs="宋体"/>
          <w:color w:val="auto"/>
          <w:sz w:val="28"/>
          <w:szCs w:val="21"/>
          <w:lang w:val="en-US" w:eastAsia="zh-CN"/>
        </w:rPr>
        <w:t>本工程沿线农村区域属街道管辖，部分已建设有农村生活污水处理设施，建议由行政村所属街道、管养单位等相关部门对处理站运行情况进行综合评估。如现状污水系统可达标使用，则暂不进行改造。如现状污水系统达不到相关排水要求，则采用管养资金对行政村内实施雨污分流改造工程，改造达标后污水纳入本项目建设主管的收纳范围。</w:t>
      </w:r>
    </w:p>
    <w:p>
      <w:pPr>
        <w:pStyle w:val="12"/>
        <w:numPr>
          <w:ilvl w:val="0"/>
          <w:numId w:val="24"/>
        </w:numPr>
        <w:ind w:left="0" w:leftChars="0" w:firstLine="564" w:firstLineChars="200"/>
        <w:rPr>
          <w:rFonts w:hint="eastAsia" w:cs="宋体"/>
          <w:color w:val="auto"/>
          <w:sz w:val="28"/>
          <w:szCs w:val="21"/>
          <w:lang w:val="en-US" w:eastAsia="zh-CN"/>
        </w:rPr>
      </w:pPr>
      <w:r>
        <w:rPr>
          <w:rFonts w:hint="eastAsia" w:cs="宋体"/>
          <w:color w:val="auto"/>
          <w:sz w:val="28"/>
          <w:szCs w:val="21"/>
          <w:lang w:val="en-US" w:eastAsia="zh-CN"/>
        </w:rPr>
        <w:t>暂无排水单元划分的临街商铺</w:t>
      </w:r>
    </w:p>
    <w:p>
      <w:pPr>
        <w:pStyle w:val="12"/>
        <w:keepNext w:val="0"/>
        <w:keepLines w:val="0"/>
        <w:pageBreakBefore w:val="0"/>
        <w:widowControl w:val="0"/>
        <w:numPr>
          <w:ilvl w:val="0"/>
          <w:numId w:val="0"/>
        </w:numPr>
        <w:kinsoku/>
        <w:wordWrap/>
        <w:overflowPunct/>
        <w:topLinePunct w:val="0"/>
        <w:autoSpaceDE/>
        <w:autoSpaceDN/>
        <w:bidi w:val="0"/>
        <w:adjustRightInd/>
        <w:snapToGrid/>
        <w:ind w:leftChars="0" w:firstLine="564" w:firstLineChars="200"/>
        <w:textAlignment w:val="auto"/>
        <w:rPr>
          <w:rFonts w:hint="default" w:eastAsia="宋体" w:cs="宋体"/>
          <w:color w:val="auto"/>
          <w:sz w:val="28"/>
          <w:szCs w:val="21"/>
          <w:lang w:val="en-US" w:eastAsia="zh-CN"/>
        </w:rPr>
      </w:pPr>
      <w:r>
        <w:rPr>
          <w:rFonts w:hint="eastAsia" w:eastAsia="宋体" w:cs="宋体"/>
          <w:color w:val="auto"/>
          <w:sz w:val="28"/>
          <w:szCs w:val="21"/>
          <w:lang w:val="en-US" w:eastAsia="zh-CN"/>
        </w:rPr>
        <w:t>因现状Y523片区处于中心城区与农村地区交界处，部分单元划分未有清晰的界线，据查相关资料，Y523罗洞牌坊后部分商铺目前未有明确的排水单元划分，为防止出现“最后50米”无责任单位建设的情况，本次改造考虑将未有单元划分的沿街商铺纳入本次项目改造范围。</w:t>
      </w:r>
    </w:p>
    <w:p>
      <w:pPr>
        <w:pStyle w:val="13"/>
        <w:ind w:left="0" w:leftChars="0" w:firstLine="0" w:firstLineChars="0"/>
        <w:jc w:val="center"/>
        <w:rPr>
          <w:color w:val="auto"/>
        </w:rPr>
      </w:pPr>
      <w:r>
        <w:rPr>
          <w:color w:val="auto"/>
        </w:rPr>
        <w:drawing>
          <wp:inline distT="0" distB="0" distL="114300" distR="114300">
            <wp:extent cx="4986655" cy="5601970"/>
            <wp:effectExtent l="0" t="0" r="4445" b="17780"/>
            <wp:docPr id="6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8"/>
                    <pic:cNvPicPr>
                      <a:picLocks noChangeAspect="1"/>
                    </pic:cNvPicPr>
                  </pic:nvPicPr>
                  <pic:blipFill>
                    <a:blip r:embed="rId71"/>
                    <a:stretch>
                      <a:fillRect/>
                    </a:stretch>
                  </pic:blipFill>
                  <pic:spPr>
                    <a:xfrm>
                      <a:off x="0" y="0"/>
                      <a:ext cx="4986655" cy="5601970"/>
                    </a:xfrm>
                    <a:prstGeom prst="rect">
                      <a:avLst/>
                    </a:prstGeom>
                    <a:noFill/>
                    <a:ln>
                      <a:noFill/>
                    </a:ln>
                  </pic:spPr>
                </pic:pic>
              </a:graphicData>
            </a:graphic>
          </wp:inline>
        </w:drawing>
      </w:r>
    </w:p>
    <w:p>
      <w:pPr>
        <w:pStyle w:val="91"/>
        <w:keepLines w:val="0"/>
        <w:pageBreakBefore w:val="0"/>
        <w:widowControl w:val="0"/>
        <w:numPr>
          <w:ilvl w:val="8"/>
          <w:numId w:val="9"/>
        </w:numPr>
        <w:kinsoku/>
        <w:wordWrap/>
        <w:overflowPunct/>
        <w:topLinePunct w:val="0"/>
        <w:autoSpaceDE/>
        <w:autoSpaceDN/>
        <w:bidi w:val="0"/>
        <w:adjustRightInd/>
        <w:snapToGrid/>
        <w:textAlignment w:val="auto"/>
        <w:rPr>
          <w:color w:val="auto"/>
        </w:rPr>
      </w:pPr>
      <w:r>
        <w:rPr>
          <w:rFonts w:hint="eastAsia"/>
          <w:color w:val="auto"/>
          <w:lang w:val="en-US" w:eastAsia="zh-CN"/>
        </w:rPr>
        <w:t>Y523</w:t>
      </w:r>
      <w:r>
        <w:rPr>
          <w:rFonts w:hint="eastAsia"/>
          <w:color w:val="auto"/>
          <w:lang w:eastAsia="zh-CN"/>
        </w:rPr>
        <w:t>片区单元分布及其性质区分</w:t>
      </w:r>
    </w:p>
    <w:p>
      <w:pPr>
        <w:pStyle w:val="40"/>
        <w:numPr>
          <w:ilvl w:val="2"/>
          <w:numId w:val="9"/>
        </w:numPr>
        <w:bidi w:val="0"/>
        <w:rPr>
          <w:rFonts w:hint="eastAsia" w:eastAsia="宋体"/>
          <w:color w:val="auto"/>
          <w:lang w:val="en-US" w:eastAsia="zh-CN"/>
        </w:rPr>
      </w:pPr>
      <w:r>
        <w:rPr>
          <w:rFonts w:hint="eastAsia" w:eastAsia="宋体"/>
          <w:color w:val="auto"/>
          <w:lang w:val="en-US" w:eastAsia="zh-CN"/>
        </w:rPr>
        <w:t>改造范围内污染源示意及改造措施</w:t>
      </w: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color w:val="auto"/>
        </w:rPr>
      </w:pPr>
      <w:r>
        <w:rPr>
          <w:color w:val="auto"/>
        </w:rPr>
        <w:drawing>
          <wp:inline distT="0" distB="0" distL="114300" distR="114300">
            <wp:extent cx="5654675" cy="4789805"/>
            <wp:effectExtent l="0" t="0" r="3175" b="10795"/>
            <wp:docPr id="7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
                    <pic:cNvPicPr>
                      <a:picLocks noChangeAspect="1"/>
                    </pic:cNvPicPr>
                  </pic:nvPicPr>
                  <pic:blipFill>
                    <a:blip r:embed="rId72"/>
                    <a:stretch>
                      <a:fillRect/>
                    </a:stretch>
                  </pic:blipFill>
                  <pic:spPr>
                    <a:xfrm>
                      <a:off x="0" y="0"/>
                      <a:ext cx="5654675" cy="4789805"/>
                    </a:xfrm>
                    <a:prstGeom prst="rect">
                      <a:avLst/>
                    </a:prstGeom>
                    <a:noFill/>
                    <a:ln>
                      <a:noFill/>
                    </a:ln>
                  </pic:spPr>
                </pic:pic>
              </a:graphicData>
            </a:graphic>
          </wp:inline>
        </w:drawing>
      </w:r>
    </w:p>
    <w:p>
      <w:pPr>
        <w:pStyle w:val="44"/>
        <w:numPr>
          <w:ilvl w:val="8"/>
          <w:numId w:val="9"/>
        </w:numPr>
        <w:bidi w:val="0"/>
        <w:rPr>
          <w:rFonts w:hint="eastAsia"/>
          <w:color w:val="auto"/>
          <w:lang w:eastAsia="zh-CN"/>
        </w:rPr>
      </w:pPr>
      <w:r>
        <w:rPr>
          <w:rFonts w:hint="eastAsia"/>
          <w:color w:val="auto"/>
          <w:lang w:val="en-US" w:eastAsia="zh-CN"/>
        </w:rPr>
        <w:t>Y523沿线项目改造范围内污染源摸查示意</w:t>
      </w:r>
    </w:p>
    <w:p>
      <w:pPr>
        <w:rPr>
          <w:rFonts w:hint="eastAsia"/>
          <w:color w:val="auto"/>
          <w:lang w:eastAsia="zh-CN"/>
        </w:rPr>
      </w:pPr>
      <w:r>
        <w:rPr>
          <w:rFonts w:hint="eastAsia"/>
          <w:color w:val="auto"/>
          <w:lang w:val="en-US" w:eastAsia="zh-CN"/>
        </w:rPr>
        <w:t>本项目仅对工程改造范围内的污染源进行摸查，其余各自行改造或其他项目改造范围的污染源由其他项目自行调查实施。</w:t>
      </w:r>
    </w:p>
    <w:p>
      <w:pPr>
        <w:rPr>
          <w:rFonts w:hint="eastAsia" w:eastAsia="宋体"/>
          <w:color w:val="auto"/>
          <w:lang w:val="en-US" w:eastAsia="zh-CN"/>
        </w:rPr>
      </w:pPr>
      <w:r>
        <w:rPr>
          <w:rFonts w:hint="eastAsia" w:eastAsia="宋体"/>
          <w:color w:val="auto"/>
          <w:lang w:val="en-US" w:eastAsia="zh-CN"/>
        </w:rPr>
        <w:t>本项目对污染源的错混接整改方式为源头（立管）分流改造，并接管到户，从而实现雨污分流，详见下文排水单元内部改造方案。</w:t>
      </w:r>
    </w:p>
    <w:p>
      <w:pPr>
        <w:pStyle w:val="39"/>
        <w:numPr>
          <w:ilvl w:val="1"/>
          <w:numId w:val="18"/>
        </w:numPr>
        <w:rPr>
          <w:rFonts w:cs="宋体" w:asciiTheme="minorEastAsia" w:hAnsiTheme="minorEastAsia" w:eastAsiaTheme="minorEastAsia"/>
          <w:color w:val="auto"/>
          <w:sz w:val="28"/>
          <w:szCs w:val="28"/>
        </w:rPr>
      </w:pPr>
      <w:bookmarkStart w:id="54" w:name="_Toc11252"/>
      <w:r>
        <w:rPr>
          <w:rFonts w:hint="eastAsia" w:cs="宋体" w:asciiTheme="minorEastAsia" w:hAnsiTheme="minorEastAsia" w:eastAsiaTheme="minorEastAsia"/>
          <w:color w:val="auto"/>
          <w:sz w:val="28"/>
          <w:szCs w:val="28"/>
          <w:lang w:eastAsia="zh-CN"/>
        </w:rPr>
        <w:t>排水单元内部改造</w:t>
      </w:r>
      <w:bookmarkEnd w:id="54"/>
    </w:p>
    <w:p>
      <w:pPr>
        <w:pStyle w:val="40"/>
        <w:numPr>
          <w:ilvl w:val="2"/>
          <w:numId w:val="9"/>
        </w:numPr>
        <w:bidi w:val="0"/>
        <w:rPr>
          <w:rFonts w:hint="eastAsia" w:eastAsia="宋体"/>
          <w:color w:val="auto"/>
          <w:lang w:val="en-US" w:eastAsia="zh-CN"/>
        </w:rPr>
      </w:pPr>
      <w:r>
        <w:rPr>
          <w:rFonts w:hint="eastAsia" w:eastAsia="宋体"/>
          <w:color w:val="auto"/>
          <w:lang w:val="en-US" w:eastAsia="zh-CN"/>
        </w:rPr>
        <w:t>公路管理局</w:t>
      </w:r>
      <w:r>
        <w:rPr>
          <w:rFonts w:hint="eastAsia"/>
          <w:color w:val="auto"/>
          <w:lang w:val="en-US" w:eastAsia="zh-CN"/>
        </w:rPr>
        <w:t>罗洞管养</w:t>
      </w:r>
      <w:r>
        <w:rPr>
          <w:rFonts w:hint="eastAsia" w:eastAsia="宋体"/>
          <w:color w:val="auto"/>
          <w:lang w:val="en-US" w:eastAsia="zh-CN"/>
        </w:rPr>
        <w:t>站</w:t>
      </w:r>
    </w:p>
    <w:p>
      <w:pPr>
        <w:pStyle w:val="36"/>
        <w:ind w:left="0" w:leftChars="0" w:firstLine="604" w:firstLineChars="200"/>
        <w:rPr>
          <w:rFonts w:hint="eastAsia" w:cs="宋体"/>
          <w:color w:val="auto"/>
          <w:sz w:val="28"/>
          <w:szCs w:val="18"/>
          <w:lang w:val="en-US" w:eastAsia="zh-CN"/>
        </w:rPr>
      </w:pPr>
      <w:r>
        <w:rPr>
          <w:rFonts w:hint="eastAsia" w:cs="宋体"/>
          <w:color w:val="auto"/>
          <w:sz w:val="28"/>
          <w:szCs w:val="18"/>
          <w:lang w:val="en-US" w:eastAsia="zh-CN"/>
        </w:rPr>
        <w:t>公路管理局罗洞管养站现状排水体系为雨污合流制，现状场地内只有一条400×500雨水合流渠和DN300合流管，现状污水及雨水通过雨污合流管排入Y523县道上DN600合流主管。</w:t>
      </w:r>
    </w:p>
    <w:p>
      <w:pPr>
        <w:pStyle w:val="36"/>
        <w:ind w:left="0" w:leftChars="0" w:firstLine="604" w:firstLineChars="200"/>
        <w:jc w:val="center"/>
        <w:rPr>
          <w:color w:val="auto"/>
        </w:rPr>
      </w:pPr>
      <w:r>
        <w:rPr>
          <w:color w:val="auto"/>
        </w:rPr>
        <w:drawing>
          <wp:inline distT="0" distB="0" distL="114300" distR="114300">
            <wp:extent cx="4043680" cy="3223895"/>
            <wp:effectExtent l="0" t="0" r="13970" b="14605"/>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
                    <pic:cNvPicPr>
                      <a:picLocks noChangeAspect="1"/>
                    </pic:cNvPicPr>
                  </pic:nvPicPr>
                  <pic:blipFill>
                    <a:blip r:embed="rId73"/>
                    <a:stretch>
                      <a:fillRect/>
                    </a:stretch>
                  </pic:blipFill>
                  <pic:spPr>
                    <a:xfrm>
                      <a:off x="0" y="0"/>
                      <a:ext cx="4043680" cy="3223895"/>
                    </a:xfrm>
                    <a:prstGeom prst="rect">
                      <a:avLst/>
                    </a:prstGeom>
                    <a:noFill/>
                    <a:ln>
                      <a:noFill/>
                    </a:ln>
                  </pic:spPr>
                </pic:pic>
              </a:graphicData>
            </a:graphic>
          </wp:inline>
        </w:drawing>
      </w:r>
    </w:p>
    <w:p>
      <w:pPr>
        <w:pStyle w:val="44"/>
        <w:numPr>
          <w:ilvl w:val="8"/>
          <w:numId w:val="9"/>
        </w:numPr>
        <w:bidi w:val="0"/>
        <w:rPr>
          <w:rFonts w:hint="eastAsia"/>
          <w:color w:val="auto"/>
          <w:lang w:eastAsia="zh-CN"/>
        </w:rPr>
      </w:pPr>
      <w:r>
        <w:rPr>
          <w:rFonts w:hint="eastAsia"/>
          <w:color w:val="auto"/>
          <w:lang w:val="en-US" w:eastAsia="zh-CN"/>
        </w:rPr>
        <w:t>公路管理局罗洞管养站排水改造</w:t>
      </w:r>
    </w:p>
    <w:p>
      <w:pPr>
        <w:pStyle w:val="36"/>
        <w:ind w:left="0" w:leftChars="0" w:firstLine="604" w:firstLineChars="200"/>
        <w:jc w:val="both"/>
        <w:rPr>
          <w:rFonts w:hint="eastAsia"/>
          <w:color w:val="auto"/>
          <w:lang w:val="en-US" w:eastAsia="zh-CN"/>
        </w:rPr>
      </w:pPr>
      <w:r>
        <w:rPr>
          <w:rFonts w:hint="eastAsia"/>
          <w:color w:val="auto"/>
          <w:lang w:eastAsia="zh-CN"/>
        </w:rPr>
        <w:t>根据现状排水管道及场地地形，对于公路管理局罗洞管养站内部改造采用雨污分流体制，将现状</w:t>
      </w:r>
      <w:r>
        <w:rPr>
          <w:rFonts w:hint="eastAsia"/>
          <w:color w:val="auto"/>
          <w:lang w:val="en-US" w:eastAsia="zh-CN"/>
        </w:rPr>
        <w:t>400×500合流暗渠及DN300合流塑料管保留做为雨水管道，在东侧出口道路上新建DN300污水管接排水单元内部污水；同时对排水单元内部3处化粪池错混接改造及4处合流立管进行改造，合流立管改造方案为，现状合流立管做为污水立管接入到新建DN300污水管道内，封堵并切断立管接建筑天面雨水口，再新建雨水立管接建筑天面雨水。</w:t>
      </w:r>
    </w:p>
    <w:p>
      <w:pPr>
        <w:pStyle w:val="40"/>
        <w:numPr>
          <w:ilvl w:val="2"/>
          <w:numId w:val="9"/>
        </w:numPr>
        <w:bidi w:val="0"/>
        <w:rPr>
          <w:rFonts w:hint="eastAsia" w:eastAsia="宋体"/>
          <w:color w:val="auto"/>
          <w:lang w:val="en-US" w:eastAsia="zh-CN"/>
        </w:rPr>
      </w:pPr>
      <w:r>
        <w:rPr>
          <w:rFonts w:hint="eastAsia"/>
          <w:color w:val="auto"/>
          <w:lang w:val="en-US" w:eastAsia="zh-CN"/>
        </w:rPr>
        <w:t>罗洞</w:t>
      </w:r>
      <w:r>
        <w:rPr>
          <w:rFonts w:hint="eastAsia" w:eastAsia="宋体"/>
          <w:color w:val="auto"/>
          <w:lang w:val="en-US" w:eastAsia="zh-CN"/>
        </w:rPr>
        <w:t>小学</w:t>
      </w:r>
    </w:p>
    <w:p>
      <w:pPr>
        <w:ind w:firstLine="565"/>
        <w:rPr>
          <w:rFonts w:hint="default"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罗洞小学现状排水体系为雨污合流制，学校内有一条DN200雨水支管接教学楼区域雨水，一条DN400雨水支管接操场内雨水，两条雨水支管最终接入DN800雨水主管后排入附近农田灌溉渠内，学校内无污水管道，化粪池污水直排灌溉渠，污水立管接入DN800雨水管内。</w:t>
      </w:r>
    </w:p>
    <w:p>
      <w:pPr>
        <w:pStyle w:val="36"/>
        <w:numPr>
          <w:ilvl w:val="0"/>
          <w:numId w:val="0"/>
        </w:numPr>
        <w:ind w:leftChars="200"/>
        <w:jc w:val="center"/>
        <w:rPr>
          <w:color w:val="auto"/>
        </w:rPr>
      </w:pPr>
      <w:r>
        <w:rPr>
          <w:color w:val="auto"/>
        </w:rPr>
        <w:drawing>
          <wp:inline distT="0" distB="0" distL="114300" distR="114300">
            <wp:extent cx="4847590" cy="3830320"/>
            <wp:effectExtent l="0" t="0" r="10160" b="17780"/>
            <wp:docPr id="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
                    <pic:cNvPicPr>
                      <a:picLocks noChangeAspect="1"/>
                    </pic:cNvPicPr>
                  </pic:nvPicPr>
                  <pic:blipFill>
                    <a:blip r:embed="rId74"/>
                    <a:stretch>
                      <a:fillRect/>
                    </a:stretch>
                  </pic:blipFill>
                  <pic:spPr>
                    <a:xfrm>
                      <a:off x="0" y="0"/>
                      <a:ext cx="4847590" cy="3830320"/>
                    </a:xfrm>
                    <a:prstGeom prst="rect">
                      <a:avLst/>
                    </a:prstGeom>
                    <a:noFill/>
                    <a:ln>
                      <a:noFill/>
                    </a:ln>
                  </pic:spPr>
                </pic:pic>
              </a:graphicData>
            </a:graphic>
          </wp:inline>
        </w:drawing>
      </w:r>
    </w:p>
    <w:p>
      <w:pPr>
        <w:pStyle w:val="44"/>
        <w:numPr>
          <w:ilvl w:val="8"/>
          <w:numId w:val="9"/>
        </w:numPr>
        <w:bidi w:val="0"/>
        <w:rPr>
          <w:rFonts w:hint="eastAsia"/>
          <w:color w:val="auto"/>
          <w:lang w:eastAsia="zh-CN"/>
        </w:rPr>
      </w:pPr>
      <w:r>
        <w:rPr>
          <w:rFonts w:hint="eastAsia"/>
          <w:color w:val="auto"/>
          <w:lang w:eastAsia="zh-CN"/>
        </w:rPr>
        <w:t>罗洞小学排水改造</w:t>
      </w:r>
    </w:p>
    <w:p>
      <w:pPr>
        <w:ind w:firstLine="565"/>
        <w:rPr>
          <w:rFonts w:hint="eastAsia"/>
          <w:color w:val="auto"/>
          <w:lang w:val="en-US" w:eastAsia="zh-CN"/>
        </w:rPr>
      </w:pPr>
      <w:r>
        <w:rPr>
          <w:rFonts w:hint="eastAsia" w:cs="宋体" w:asciiTheme="minorEastAsia" w:hAnsiTheme="minorEastAsia" w:eastAsiaTheme="minorEastAsia"/>
          <w:color w:val="auto"/>
          <w:sz w:val="28"/>
          <w:szCs w:val="21"/>
          <w:lang w:val="en-US" w:eastAsia="zh-CN"/>
        </w:rPr>
        <w:t>根据现场地形及现状排水情况，对罗洞小学改造方案为，保留现状雨水管道，新建DN300污水管将现状化粪池污水进行收集后排入Y235县道上的新建污水主管，同时将公共厕所洗手池污水接入新建污水管，并对13处合流立管进行改造，</w:t>
      </w:r>
      <w:r>
        <w:rPr>
          <w:rFonts w:hint="eastAsia"/>
          <w:color w:val="auto"/>
          <w:lang w:val="en-US" w:eastAsia="zh-CN"/>
        </w:rPr>
        <w:t>合流立管改造方案为，现状合流立管做为污水立管接入到新建DN300污水管道内，封堵并切断立管接建筑天面雨水口，再新建雨水立管接建筑天面雨水。</w:t>
      </w:r>
    </w:p>
    <w:p>
      <w:pPr>
        <w:pStyle w:val="40"/>
        <w:numPr>
          <w:ilvl w:val="2"/>
          <w:numId w:val="9"/>
        </w:numPr>
        <w:bidi w:val="0"/>
        <w:rPr>
          <w:rFonts w:hint="eastAsia" w:eastAsia="宋体"/>
          <w:color w:val="auto"/>
          <w:lang w:val="en-US" w:eastAsia="zh-CN"/>
        </w:rPr>
      </w:pPr>
      <w:r>
        <w:rPr>
          <w:rFonts w:hint="eastAsia" w:eastAsia="宋体"/>
          <w:color w:val="auto"/>
          <w:lang w:val="en-US" w:eastAsia="zh-CN"/>
        </w:rPr>
        <w:t>从化区福利院</w:t>
      </w:r>
    </w:p>
    <w:p>
      <w:pPr>
        <w:ind w:firstLine="565"/>
        <w:rPr>
          <w:rFonts w:hint="default"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从化区福利院现状排水体系为雨污分流制，现状场地内有3条DN400雨水管排入Y325县道上市政主管内，3条DN400污水管排入东侧农田内。</w:t>
      </w:r>
    </w:p>
    <w:p>
      <w:pPr>
        <w:pStyle w:val="12"/>
        <w:jc w:val="center"/>
        <w:rPr>
          <w:color w:val="auto"/>
        </w:rPr>
      </w:pPr>
      <w:r>
        <w:rPr>
          <w:color w:val="auto"/>
        </w:rPr>
        <w:drawing>
          <wp:inline distT="0" distB="0" distL="114300" distR="114300">
            <wp:extent cx="4662170" cy="3706495"/>
            <wp:effectExtent l="0" t="0" r="5080" b="8255"/>
            <wp:docPr id="8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7"/>
                    <pic:cNvPicPr>
                      <a:picLocks noChangeAspect="1"/>
                    </pic:cNvPicPr>
                  </pic:nvPicPr>
                  <pic:blipFill>
                    <a:blip r:embed="rId75"/>
                    <a:stretch>
                      <a:fillRect/>
                    </a:stretch>
                  </pic:blipFill>
                  <pic:spPr>
                    <a:xfrm>
                      <a:off x="0" y="0"/>
                      <a:ext cx="4662170" cy="3706495"/>
                    </a:xfrm>
                    <a:prstGeom prst="rect">
                      <a:avLst/>
                    </a:prstGeom>
                    <a:noFill/>
                    <a:ln>
                      <a:noFill/>
                    </a:ln>
                  </pic:spPr>
                </pic:pic>
              </a:graphicData>
            </a:graphic>
          </wp:inline>
        </w:drawing>
      </w:r>
    </w:p>
    <w:p>
      <w:pPr>
        <w:pStyle w:val="44"/>
        <w:numPr>
          <w:ilvl w:val="8"/>
          <w:numId w:val="9"/>
        </w:numPr>
        <w:bidi w:val="0"/>
        <w:rPr>
          <w:rFonts w:hint="eastAsia"/>
          <w:color w:val="auto"/>
          <w:lang w:eastAsia="zh-CN"/>
        </w:rPr>
      </w:pPr>
      <w:r>
        <w:rPr>
          <w:rFonts w:hint="eastAsia"/>
          <w:color w:val="auto"/>
          <w:lang w:eastAsia="zh-CN"/>
        </w:rPr>
        <w:t>从化区福利院排水改造</w:t>
      </w:r>
    </w:p>
    <w:p>
      <w:pPr>
        <w:ind w:firstLine="565"/>
        <w:rPr>
          <w:rFonts w:hint="eastAsia"/>
          <w:color w:val="auto"/>
          <w:lang w:val="en-US" w:eastAsia="zh-CN"/>
        </w:rPr>
      </w:pPr>
      <w:r>
        <w:rPr>
          <w:rFonts w:hint="eastAsia" w:cs="宋体" w:asciiTheme="minorEastAsia" w:hAnsiTheme="minorEastAsia" w:eastAsiaTheme="minorEastAsia"/>
          <w:color w:val="auto"/>
          <w:sz w:val="28"/>
          <w:szCs w:val="21"/>
          <w:lang w:val="en-US" w:eastAsia="zh-CN"/>
        </w:rPr>
        <w:t>根据现场地形及现状排水情况，对从化区福利院改造方案为，保留现状雨水管道，新建DN300污水管接现状排入农田的污水管道后，再接入Y235县道上的新建污水主管，并对13处合流立管进行改造，</w:t>
      </w:r>
      <w:r>
        <w:rPr>
          <w:rFonts w:hint="eastAsia"/>
          <w:color w:val="auto"/>
          <w:lang w:val="en-US" w:eastAsia="zh-CN"/>
        </w:rPr>
        <w:t>合流立管改造方案为，现状合流立管做为污水立管接入到新建DN300污水管道内，封堵并切断立管接建筑天面雨水口，再新建雨水立管接建筑天面雨水。</w:t>
      </w:r>
    </w:p>
    <w:p>
      <w:pPr>
        <w:pStyle w:val="40"/>
        <w:numPr>
          <w:ilvl w:val="2"/>
          <w:numId w:val="9"/>
        </w:numPr>
        <w:bidi w:val="0"/>
        <w:rPr>
          <w:rFonts w:hint="default" w:eastAsia="宋体"/>
          <w:color w:val="auto"/>
          <w:lang w:val="en-US" w:eastAsia="zh-CN"/>
        </w:rPr>
      </w:pPr>
      <w:r>
        <w:rPr>
          <w:rFonts w:hint="eastAsia" w:eastAsia="宋体"/>
          <w:color w:val="auto"/>
          <w:lang w:val="en-US" w:eastAsia="zh-CN"/>
        </w:rPr>
        <w:t>从化区敬老院</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从化区敬老院现状排水体系为雨污合流制，现状场地内有1条DN300合流管排入Y325县道上市政主管内。</w:t>
      </w:r>
    </w:p>
    <w:p>
      <w:pPr>
        <w:pStyle w:val="30"/>
        <w:keepNext w:val="0"/>
        <w:keepLines w:val="0"/>
        <w:pageBreakBefore w:val="0"/>
        <w:widowControl/>
        <w:kinsoku/>
        <w:wordWrap/>
        <w:overflowPunct/>
        <w:topLinePunct w:val="0"/>
        <w:autoSpaceDE/>
        <w:autoSpaceDN/>
        <w:bidi w:val="0"/>
        <w:adjustRightInd/>
        <w:snapToGrid/>
        <w:ind w:left="0" w:firstLine="0" w:firstLineChars="0"/>
        <w:jc w:val="center"/>
        <w:textAlignment w:val="auto"/>
        <w:rPr>
          <w:rFonts w:hint="default"/>
          <w:lang w:val="en-US" w:eastAsia="zh-CN"/>
        </w:rPr>
      </w:pPr>
      <w:r>
        <w:drawing>
          <wp:inline distT="0" distB="0" distL="114300" distR="114300">
            <wp:extent cx="5513705" cy="4652645"/>
            <wp:effectExtent l="0" t="0" r="10795" b="14605"/>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
                    <pic:cNvPicPr>
                      <a:picLocks noChangeAspect="1"/>
                    </pic:cNvPicPr>
                  </pic:nvPicPr>
                  <pic:blipFill>
                    <a:blip r:embed="rId76"/>
                    <a:stretch>
                      <a:fillRect/>
                    </a:stretch>
                  </pic:blipFill>
                  <pic:spPr>
                    <a:xfrm>
                      <a:off x="0" y="0"/>
                      <a:ext cx="5513705" cy="4652645"/>
                    </a:xfrm>
                    <a:prstGeom prst="rect">
                      <a:avLst/>
                    </a:prstGeom>
                    <a:noFill/>
                    <a:ln>
                      <a:noFill/>
                    </a:ln>
                  </pic:spPr>
                </pic:pic>
              </a:graphicData>
            </a:graphic>
          </wp:inline>
        </w:drawing>
      </w:r>
    </w:p>
    <w:p>
      <w:pPr>
        <w:pStyle w:val="44"/>
        <w:numPr>
          <w:ilvl w:val="8"/>
          <w:numId w:val="9"/>
        </w:numPr>
        <w:bidi w:val="0"/>
        <w:rPr>
          <w:rFonts w:hint="default"/>
          <w:color w:val="auto"/>
          <w:lang w:val="en-US" w:eastAsia="zh-CN"/>
        </w:rPr>
      </w:pPr>
      <w:r>
        <w:rPr>
          <w:rFonts w:hint="eastAsia"/>
          <w:color w:val="auto"/>
          <w:lang w:val="en-US" w:eastAsia="zh-CN"/>
        </w:rPr>
        <w:t>从化区敬老院排水单元改造</w:t>
      </w:r>
    </w:p>
    <w:p>
      <w:pPr>
        <w:ind w:firstLine="565"/>
        <w:rPr>
          <w:rFonts w:hint="eastAsia"/>
          <w:color w:val="auto"/>
          <w:lang w:val="en-US" w:eastAsia="zh-CN"/>
        </w:rPr>
      </w:pPr>
      <w:r>
        <w:rPr>
          <w:rFonts w:hint="eastAsia" w:cs="宋体" w:asciiTheme="minorEastAsia" w:hAnsiTheme="minorEastAsia" w:eastAsiaTheme="minorEastAsia"/>
          <w:color w:val="auto"/>
          <w:sz w:val="28"/>
          <w:szCs w:val="21"/>
          <w:lang w:val="en-US" w:eastAsia="zh-CN"/>
        </w:rPr>
        <w:t>根据现场地形及现状排水情况，对敬老院改造方案为，保留现状雨水管道，新建DN300污水管将现状化粪池污水进行收集后排入Y235县道上的新建污水主管，同时将厕所洗手池污水接入新建污水管，并对合流立管进行改造，</w:t>
      </w:r>
      <w:r>
        <w:rPr>
          <w:rFonts w:hint="eastAsia"/>
          <w:color w:val="auto"/>
          <w:lang w:val="en-US" w:eastAsia="zh-CN"/>
        </w:rPr>
        <w:t>合流立管改造方案为，现状合流立管做为污水立管接入到新建DN300污水管道内，封堵并切断立管接建筑天面雨水口，再新建雨水立管接建筑天面雨水。</w:t>
      </w:r>
    </w:p>
    <w:p>
      <w:pPr>
        <w:pStyle w:val="40"/>
        <w:numPr>
          <w:ilvl w:val="2"/>
          <w:numId w:val="9"/>
        </w:numPr>
        <w:bidi w:val="0"/>
        <w:rPr>
          <w:rFonts w:hint="eastAsia" w:eastAsia="宋体"/>
          <w:color w:val="auto"/>
          <w:lang w:val="en-US" w:eastAsia="zh-CN"/>
        </w:rPr>
      </w:pPr>
      <w:r>
        <w:rPr>
          <w:rFonts w:hint="eastAsia" w:eastAsia="宋体"/>
          <w:color w:val="auto"/>
          <w:lang w:val="en-US" w:eastAsia="zh-CN"/>
        </w:rPr>
        <w:t>建筑立管改造</w:t>
      </w:r>
    </w:p>
    <w:p>
      <w:pPr>
        <w:ind w:firstLine="565"/>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因各住户排水流向难以确定且改造难度较大。为了顺利推进项目，减少项目推进难度及投资，本次方案设计均对每栋建筑进行新建雨水立管，原有立管保留以作污水立管进行使用。改造示意图如下：</w:t>
      </w:r>
    </w:p>
    <w:p>
      <w:pPr>
        <w:pStyle w:val="36"/>
        <w:numPr>
          <w:ilvl w:val="0"/>
          <w:numId w:val="0"/>
        </w:numPr>
        <w:rPr>
          <w:color w:val="auto"/>
        </w:rPr>
      </w:pPr>
      <w:r>
        <w:rPr>
          <w:color w:val="auto"/>
        </w:rPr>
        <w:drawing>
          <wp:inline distT="0" distB="0" distL="114300" distR="114300">
            <wp:extent cx="5956935" cy="6175375"/>
            <wp:effectExtent l="0" t="0" r="5715" b="15875"/>
            <wp:docPr id="37889" name="图片 2"/>
            <wp:cNvGraphicFramePr/>
            <a:graphic xmlns:a="http://schemas.openxmlformats.org/drawingml/2006/main">
              <a:graphicData uri="http://schemas.openxmlformats.org/drawingml/2006/picture">
                <pic:pic xmlns:pic="http://schemas.openxmlformats.org/drawingml/2006/picture">
                  <pic:nvPicPr>
                    <pic:cNvPr id="37889" name="图片 2"/>
                    <pic:cNvPicPr/>
                  </pic:nvPicPr>
                  <pic:blipFill>
                    <a:blip r:embed="rId77"/>
                    <a:srcRect t="12352" b="7288"/>
                    <a:stretch>
                      <a:fillRect/>
                    </a:stretch>
                  </pic:blipFill>
                  <pic:spPr>
                    <a:xfrm>
                      <a:off x="0" y="0"/>
                      <a:ext cx="5956935" cy="6175375"/>
                    </a:xfrm>
                    <a:prstGeom prst="rect">
                      <a:avLst/>
                    </a:prstGeom>
                    <a:noFill/>
                    <a:ln w="9525">
                      <a:noFill/>
                    </a:ln>
                  </pic:spPr>
                </pic:pic>
              </a:graphicData>
            </a:graphic>
          </wp:inline>
        </w:drawing>
      </w:r>
    </w:p>
    <w:p>
      <w:pPr>
        <w:pStyle w:val="44"/>
        <w:numPr>
          <w:ilvl w:val="8"/>
          <w:numId w:val="9"/>
        </w:numPr>
        <w:bidi w:val="0"/>
        <w:rPr>
          <w:rFonts w:hint="eastAsia"/>
          <w:color w:val="auto"/>
          <w:lang w:eastAsia="zh-CN"/>
        </w:rPr>
      </w:pPr>
      <w:r>
        <w:rPr>
          <w:rFonts w:hint="eastAsia"/>
          <w:color w:val="auto"/>
          <w:lang w:eastAsia="zh-CN"/>
        </w:rPr>
        <w:t>建筑立管改造示意图</w:t>
      </w:r>
    </w:p>
    <w:p>
      <w:pPr>
        <w:pStyle w:val="39"/>
        <w:numPr>
          <w:ilvl w:val="1"/>
          <w:numId w:val="9"/>
        </w:numPr>
        <w:rPr>
          <w:rFonts w:hint="eastAsia" w:cs="宋体" w:asciiTheme="minorEastAsia" w:hAnsiTheme="minorEastAsia" w:eastAsiaTheme="minorEastAsia"/>
          <w:color w:val="auto"/>
          <w:sz w:val="28"/>
          <w:szCs w:val="28"/>
          <w:lang w:val="en-US" w:eastAsia="zh-CN"/>
        </w:rPr>
      </w:pPr>
      <w:bookmarkStart w:id="55" w:name="_Toc30652"/>
      <w:r>
        <w:rPr>
          <w:rFonts w:hint="eastAsia" w:cs="宋体" w:asciiTheme="minorEastAsia" w:hAnsiTheme="minorEastAsia" w:eastAsiaTheme="minorEastAsia"/>
          <w:color w:val="auto"/>
          <w:sz w:val="28"/>
          <w:szCs w:val="28"/>
          <w:lang w:val="en-US" w:eastAsia="zh-CN"/>
        </w:rPr>
        <w:t>管材及管道施工方法比选</w:t>
      </w:r>
      <w:bookmarkEnd w:id="55"/>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lang w:val="sq-AL"/>
        </w:rPr>
        <w:t>正确地选用管材，对于工程质量，建设投资，施工速度影响颇大。新材料和新工艺的应用不仅会对工程的建设带来好处，而且新材料和新工艺的综合应用将会对工程的建设带来更大的益处。</w:t>
      </w:r>
    </w:p>
    <w:p>
      <w:pPr>
        <w:pStyle w:val="40"/>
        <w:numPr>
          <w:ilvl w:val="2"/>
          <w:numId w:val="9"/>
        </w:numPr>
        <w:rPr>
          <w:rFonts w:hint="eastAsia" w:cs="宋体" w:asciiTheme="minorEastAsia" w:hAnsiTheme="minorEastAsia" w:eastAsiaTheme="minorEastAsia"/>
          <w:color w:val="auto"/>
          <w:sz w:val="28"/>
          <w:szCs w:val="28"/>
          <w:lang w:val="sq-AL" w:eastAsia="zh-CN"/>
        </w:rPr>
      </w:pPr>
      <w:bookmarkStart w:id="56" w:name="_Toc513498990"/>
      <w:bookmarkStart w:id="57" w:name="_Toc21592623"/>
      <w:bookmarkStart w:id="58" w:name="_Toc513498588"/>
      <w:r>
        <w:rPr>
          <w:rFonts w:hint="eastAsia" w:cs="宋体" w:asciiTheme="minorEastAsia" w:hAnsiTheme="minorEastAsia" w:eastAsiaTheme="minorEastAsia"/>
          <w:color w:val="auto"/>
          <w:sz w:val="28"/>
          <w:szCs w:val="28"/>
          <w:lang w:val="sq-AL" w:eastAsia="zh-CN"/>
        </w:rPr>
        <w:t>管材种类</w:t>
      </w:r>
      <w:bookmarkEnd w:id="56"/>
      <w:bookmarkEnd w:id="57"/>
      <w:bookmarkEnd w:id="58"/>
    </w:p>
    <w:p>
      <w:p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目前国内用于排水管道工程（包括雨水和污水管道）的管材有许多种，特别是近几年来随着新技术和新材料的发展，又出现了许多新管材，它们各有特点，各有所长，运用在排水行业，均有不俗的业绩。</w:t>
      </w:r>
    </w:p>
    <w:p>
      <w:p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用于排水管道工程的管材主要有：</w:t>
      </w:r>
    </w:p>
    <w:p>
      <w:p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（1）金属管材（主要指钢管、球墨铸铁管、灰口铸铁管等）；</w:t>
      </w:r>
    </w:p>
    <w:p>
      <w:p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（2）普通的钢筋混凝土管材（主要指一级、二级离心钢筋混凝土管）；</w:t>
      </w:r>
    </w:p>
    <w:p>
      <w:p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（3）加强的钢筋混凝土管材（主要指三级离心钢筋混凝土管、预应力钢筋混凝管、预应力钢筒混凝土管（简称PCCP管））；</w:t>
      </w:r>
    </w:p>
    <w:p>
      <w:p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（4）玻璃钢夹砂管材（主要指缠绕式玻璃钢夹砂管和离心式玻璃钢夹砂管等）；</w:t>
      </w:r>
    </w:p>
    <w:p>
      <w:p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（5）合成材料管材（指UPVC、UPVC加强筋管、HDPE管、FRPP等）。</w:t>
      </w:r>
    </w:p>
    <w:p>
      <w:pPr>
        <w:pStyle w:val="40"/>
        <w:numPr>
          <w:ilvl w:val="2"/>
          <w:numId w:val="9"/>
        </w:numPr>
        <w:rPr>
          <w:rFonts w:hint="eastAsia" w:cs="宋体" w:asciiTheme="minorEastAsia" w:hAnsiTheme="minorEastAsia" w:eastAsiaTheme="minorEastAsia"/>
          <w:color w:val="auto"/>
          <w:sz w:val="28"/>
          <w:szCs w:val="28"/>
          <w:lang w:val="sq-AL" w:eastAsia="zh-CN"/>
        </w:rPr>
      </w:pPr>
      <w:bookmarkStart w:id="59" w:name="_Toc513498589"/>
      <w:bookmarkStart w:id="60" w:name="_Toc513498991"/>
      <w:bookmarkStart w:id="61" w:name="_Toc21592624"/>
      <w:r>
        <w:rPr>
          <w:rFonts w:hint="eastAsia" w:cs="宋体" w:asciiTheme="minorEastAsia" w:hAnsiTheme="minorEastAsia" w:eastAsiaTheme="minorEastAsia"/>
          <w:color w:val="auto"/>
          <w:sz w:val="28"/>
          <w:szCs w:val="28"/>
          <w:lang w:val="sq-AL" w:eastAsia="zh-CN"/>
        </w:rPr>
        <w:t>各种管材的比较</w:t>
      </w:r>
      <w:bookmarkEnd w:id="59"/>
      <w:bookmarkEnd w:id="60"/>
      <w:bookmarkEnd w:id="61"/>
    </w:p>
    <w:p>
      <w:pPr>
        <w:numPr>
          <w:ilvl w:val="0"/>
          <w:numId w:val="25"/>
        </w:num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金属管材（主要指钢管、球墨铸铁管、灰口铸铁管等）</w:t>
      </w:r>
    </w:p>
    <w:p>
      <w:pPr>
        <w:numPr>
          <w:ilvl w:val="0"/>
          <w:numId w:val="0"/>
        </w:numPr>
        <w:ind w:firstLine="564" w:firstLineChars="200"/>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钢管机械强度大，可承受很高的压力，管件制作、加工方便，适用于地形复杂地段或穿越障碍等情况。但突出的问题是管道的腐蚀及其防护。内外防腐的施工质量直接和管道的使用寿命有关，且钢管的综合造价较高。尽管如此，在一些特殊条件下仍是其它管材所不能替代的。</w:t>
      </w:r>
    </w:p>
    <w:p>
      <w:pPr>
        <w:numPr>
          <w:ilvl w:val="0"/>
          <w:numId w:val="0"/>
        </w:numPr>
        <w:ind w:firstLine="564" w:firstLineChars="200"/>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球墨铸铁管分可延性和铸态球墨铸铁管，抗拉、抗弯强度大，延伸率大，耐压力大，耐腐蚀优于钢管，但价格偏高。</w:t>
      </w:r>
    </w:p>
    <w:p>
      <w:pPr>
        <w:numPr>
          <w:ilvl w:val="0"/>
          <w:numId w:val="0"/>
        </w:numPr>
        <w:ind w:firstLine="564" w:firstLineChars="200"/>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灰口铸铁管物理性质与球墨铸铁管类似，但在延伸率等较多方面均劣于大球墨铸铁管，但价格适中。目前已从以前的主流管材变为次要管材。</w:t>
      </w:r>
    </w:p>
    <w:p>
      <w:pPr>
        <w:numPr>
          <w:ilvl w:val="0"/>
          <w:numId w:val="25"/>
        </w:num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普通的钢筋混凝土管材（主要指一级、二级离心钢筋混凝土管）</w:t>
      </w:r>
    </w:p>
    <w:p>
      <w:pPr>
        <w:numPr>
          <w:ilvl w:val="0"/>
          <w:numId w:val="0"/>
        </w:numPr>
        <w:ind w:firstLine="564" w:firstLineChars="200"/>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使用时间最长，适用场合最广泛，价格便宜，性能稳定，目前仍是排水行业的最主要的管材。</w:t>
      </w:r>
    </w:p>
    <w:p>
      <w:pPr>
        <w:numPr>
          <w:ilvl w:val="0"/>
          <w:numId w:val="0"/>
        </w:numPr>
        <w:ind w:firstLine="564" w:firstLineChars="200"/>
        <w:rPr>
          <w:rFonts w:cs="宋体" w:asciiTheme="minorEastAsia" w:hAnsiTheme="minorEastAsia" w:eastAsiaTheme="minorEastAsia"/>
          <w:color w:val="auto"/>
          <w:sz w:val="28"/>
          <w:szCs w:val="21"/>
          <w:lang w:val="sq-AL"/>
        </w:rPr>
      </w:pPr>
      <w:r>
        <w:rPr>
          <w:rFonts w:hint="eastAsia" w:cs="宋体" w:asciiTheme="minorEastAsia" w:hAnsiTheme="minorEastAsia" w:eastAsiaTheme="minorEastAsia"/>
          <w:color w:val="auto"/>
          <w:sz w:val="28"/>
          <w:szCs w:val="21"/>
          <w:highlight w:val="none"/>
          <w:lang w:val="sq-AL" w:eastAsia="zh-CN"/>
        </w:rPr>
        <w:t>加强的钢筋混凝土管材，主要指三级离心钢筋混凝土管、预应力钢筋混</w:t>
      </w:r>
      <w:r>
        <w:rPr>
          <w:rFonts w:cs="宋体" w:asciiTheme="minorEastAsia" w:hAnsiTheme="minorEastAsia" w:eastAsiaTheme="minorEastAsia"/>
          <w:color w:val="auto"/>
          <w:sz w:val="28"/>
          <w:szCs w:val="21"/>
          <w:lang w:val="sq-AL"/>
        </w:rPr>
        <w:t>凝管、预应力钢筒混凝土管（简称PCCP管）。</w:t>
      </w:r>
    </w:p>
    <w:p>
      <w:pPr>
        <w:numPr>
          <w:ilvl w:val="0"/>
          <w:numId w:val="0"/>
        </w:numPr>
        <w:ind w:firstLine="564" w:firstLineChars="200"/>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预应力钢筋混凝土管：利用先张法、后张法对环向钢筋、纵向钢筋进行张拉，使混凝土内产生预应力，从而提高管材的</w:t>
      </w:r>
      <w:r>
        <w:rPr>
          <w:rFonts w:cs="宋体" w:asciiTheme="minorEastAsia" w:hAnsiTheme="minorEastAsia" w:eastAsiaTheme="minorEastAsia"/>
          <w:color w:val="auto"/>
          <w:sz w:val="28"/>
          <w:szCs w:val="21"/>
          <w:highlight w:val="none"/>
          <w:lang w:val="sq-AL"/>
        </w:rPr>
        <w:t>承截</w:t>
      </w:r>
      <w:r>
        <w:rPr>
          <w:rFonts w:cs="宋体" w:asciiTheme="minorEastAsia" w:hAnsiTheme="minorEastAsia" w:eastAsiaTheme="minorEastAsia"/>
          <w:color w:val="auto"/>
          <w:sz w:val="28"/>
          <w:szCs w:val="21"/>
          <w:lang w:val="sq-AL"/>
        </w:rPr>
        <w:t>力。具有节约钢材、抗震性好、使用寿命长等特点，据生产工艺分为一阶段管和三阶段管。多用于有压水的输送，管径范围φ800—φ1400，承受内压能力为0.4-1.2Mpa，粗糙度系数n=0.013—0.014。一阶段和三阶段管较耐腐蚀，价格一般，但工作压力有限，自重大，运输安装不便，管子破损率较高，管承口的不规则圆易导致接口漏水，管配件需用钢制件转换。</w:t>
      </w:r>
    </w:p>
    <w:p>
      <w:pPr>
        <w:numPr>
          <w:ilvl w:val="0"/>
          <w:numId w:val="0"/>
        </w:numPr>
        <w:ind w:firstLine="564" w:firstLineChars="200"/>
        <w:rPr>
          <w:rFonts w:cs="宋体" w:asciiTheme="minorEastAsia" w:hAnsiTheme="minorEastAsia" w:eastAsiaTheme="minorEastAsia"/>
          <w:color w:val="auto"/>
          <w:sz w:val="28"/>
          <w:szCs w:val="21"/>
          <w:lang w:val="sq-AL"/>
        </w:rPr>
      </w:pPr>
      <w:r>
        <w:rPr>
          <w:rFonts w:hint="eastAsia" w:cs="宋体" w:asciiTheme="minorEastAsia" w:hAnsiTheme="minorEastAsia" w:eastAsiaTheme="minorEastAsia"/>
          <w:color w:val="auto"/>
          <w:sz w:val="28"/>
          <w:szCs w:val="21"/>
          <w:highlight w:val="none"/>
          <w:lang w:val="sq-AL" w:eastAsia="zh-CN"/>
        </w:rPr>
        <w:t>预应力钢筒混凝土管</w:t>
      </w:r>
      <w:r>
        <w:rPr>
          <w:rFonts w:cs="宋体" w:asciiTheme="minorEastAsia" w:hAnsiTheme="minorEastAsia" w:eastAsiaTheme="minorEastAsia"/>
          <w:color w:val="auto"/>
          <w:sz w:val="28"/>
          <w:szCs w:val="21"/>
          <w:lang w:val="sq-AL"/>
        </w:rPr>
        <w:t>（PCCP）是由两种不同材料组成的复合体，其结构形式是由薄钢板焊成的筒体外包混凝土，缠绕预应力钢丝和用砂浆作保护层。其具有高抗渗性，能承受很大的内外荷载，接口密封性好。由于它本身能抵抗较大的外荷载，使其不须依赖土壤的侧向支撑，因而对回填土要求较柔性管低。主要用于有压水的输送，管径范围为φ1200～φ2000，承内压的能力分为9级，最大可达2.0Mpa，粗糙度系数较其它混凝土管低，n=0.010～0.012，但其价格较贵。</w:t>
      </w:r>
    </w:p>
    <w:p>
      <w:pPr>
        <w:numPr>
          <w:ilvl w:val="0"/>
          <w:numId w:val="0"/>
        </w:numPr>
        <w:ind w:firstLine="564" w:firstLineChars="200"/>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预应力钢筒混凝土管（PCCP）</w:t>
      </w:r>
      <w:r>
        <w:rPr>
          <w:rFonts w:cs="宋体" w:asciiTheme="minorEastAsia" w:hAnsiTheme="minorEastAsia" w:eastAsiaTheme="minorEastAsia"/>
          <w:color w:val="auto"/>
          <w:sz w:val="28"/>
          <w:szCs w:val="21"/>
          <w:highlight w:val="none"/>
          <w:lang w:val="sq-AL"/>
        </w:rPr>
        <w:t>分内衬式和嵌置式</w:t>
      </w:r>
      <w:r>
        <w:rPr>
          <w:rFonts w:cs="宋体" w:asciiTheme="minorEastAsia" w:hAnsiTheme="minorEastAsia" w:eastAsiaTheme="minorEastAsia"/>
          <w:color w:val="auto"/>
          <w:sz w:val="28"/>
          <w:szCs w:val="21"/>
          <w:lang w:val="sq-AL"/>
        </w:rPr>
        <w:t>，钢环状承插口密封性强，兼有钢管和混凝土管的某些优点，但管材自重大，也需一些钢制转换件，运输、安装不便，相应增加了管材的施工制作配套费用，必要时需在保护层外涂沥青防腐。这种管材对于大口径能显示其性价比方面优越性。</w:t>
      </w:r>
    </w:p>
    <w:p>
      <w:pPr>
        <w:numPr>
          <w:ilvl w:val="0"/>
          <w:numId w:val="0"/>
        </w:numPr>
        <w:ind w:firstLine="564" w:firstLineChars="200"/>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玻璃钢夹砂管材（主要指缠绕式玻璃钢夹砂管和离心式玻璃钢夹砂管等）</w:t>
      </w:r>
    </w:p>
    <w:p>
      <w:pPr>
        <w:numPr>
          <w:ilvl w:val="0"/>
          <w:numId w:val="25"/>
        </w:num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分离心浇铸玻璃纤维增强不饱和聚酯夹砂管和玻璃纤维缠绕增强热固性树脂夹砂复合管，具有重量轻，利于施工安装，耐腐蚀，使用周期长，可达到50年以上，水力性能优，管内壁粗糙度n=0.008~0.010，在相同水力条件下，玻璃钢管可代替比它直径大一至二档的混凝土管和钢管、球墨铸铁管。但玻璃钢夹砂管同管径管材价格偏高，且抗击集中外力和不均匀外力的能力较弱。</w:t>
      </w:r>
    </w:p>
    <w:p>
      <w:pPr>
        <w:numPr>
          <w:ilvl w:val="0"/>
          <w:numId w:val="25"/>
        </w:numPr>
        <w:ind w:firstLine="565"/>
        <w:rPr>
          <w:rFonts w:cs="宋体" w:asciiTheme="minorEastAsia" w:hAnsiTheme="minorEastAsia" w:eastAsiaTheme="minorEastAsia"/>
          <w:color w:val="auto"/>
          <w:sz w:val="28"/>
          <w:szCs w:val="21"/>
          <w:lang w:val="sq-AL"/>
        </w:rPr>
      </w:pPr>
      <w:r>
        <w:rPr>
          <w:rFonts w:hint="eastAsia" w:cs="宋体" w:asciiTheme="minorEastAsia" w:hAnsiTheme="minorEastAsia" w:eastAsiaTheme="minorEastAsia"/>
          <w:color w:val="auto"/>
          <w:sz w:val="28"/>
          <w:szCs w:val="21"/>
          <w:lang w:val="sq-AL" w:eastAsia="zh-CN"/>
        </w:rPr>
        <w:t>焊接钢管</w:t>
      </w:r>
    </w:p>
    <w:p>
      <w:pPr>
        <w:pStyle w:val="12"/>
        <w:rPr>
          <w:rFonts w:hint="eastAsia"/>
          <w:color w:val="auto"/>
          <w:lang w:val="sq-AL"/>
        </w:rPr>
      </w:pPr>
      <w:r>
        <w:rPr>
          <w:rFonts w:hint="eastAsia"/>
          <w:color w:val="auto"/>
          <w:lang w:val="sq-AL"/>
        </w:rPr>
        <w:t>焊接</w:t>
      </w:r>
      <w:r>
        <w:rPr>
          <w:rFonts w:hint="eastAsia"/>
          <w:color w:val="auto"/>
          <w:lang w:val="sq-AL"/>
        </w:rPr>
        <w:fldChar w:fldCharType="begin"/>
      </w:r>
      <w:r>
        <w:rPr>
          <w:rFonts w:hint="eastAsia"/>
          <w:color w:val="auto"/>
          <w:lang w:val="sq-AL"/>
        </w:rPr>
        <w:instrText xml:space="preserve"> HYPERLINK "https://baike.baidu.com/item/%E9%92%A2%E7%AE%A1/236092?fromModule=lemma_inlink" \t "https://baike.baidu.com/item/%E7%84%8A%E6%8E%A5%E9%92%A2%E7%AE%A1/_blank" </w:instrText>
      </w:r>
      <w:r>
        <w:rPr>
          <w:rFonts w:hint="eastAsia"/>
          <w:color w:val="auto"/>
          <w:lang w:val="sq-AL"/>
        </w:rPr>
        <w:fldChar w:fldCharType="separate"/>
      </w:r>
      <w:r>
        <w:rPr>
          <w:rFonts w:hint="eastAsia"/>
          <w:color w:val="auto"/>
          <w:lang w:val="sq-AL"/>
        </w:rPr>
        <w:t>钢管</w:t>
      </w:r>
      <w:r>
        <w:rPr>
          <w:rFonts w:hint="eastAsia"/>
          <w:color w:val="auto"/>
          <w:lang w:val="sq-AL"/>
        </w:rPr>
        <w:fldChar w:fldCharType="end"/>
      </w:r>
      <w:r>
        <w:rPr>
          <w:rFonts w:hint="eastAsia"/>
          <w:color w:val="auto"/>
          <w:lang w:val="sq-AL"/>
        </w:rPr>
        <w:t>是指用钢带或</w:t>
      </w:r>
      <w:r>
        <w:rPr>
          <w:rFonts w:hint="eastAsia"/>
          <w:color w:val="auto"/>
          <w:lang w:val="sq-AL"/>
        </w:rPr>
        <w:fldChar w:fldCharType="begin"/>
      </w:r>
      <w:r>
        <w:rPr>
          <w:rFonts w:hint="eastAsia"/>
          <w:color w:val="auto"/>
          <w:lang w:val="sq-AL"/>
        </w:rPr>
        <w:instrText xml:space="preserve"> HYPERLINK "https://baike.baidu.com/item/%E9%92%A2%E6%9D%BF/5818810?fromModule=lemma_inlink" \t "https://baike.baidu.com/item/%E7%84%8A%E6%8E%A5%E9%92%A2%E7%AE%A1/_blank" </w:instrText>
      </w:r>
      <w:r>
        <w:rPr>
          <w:rFonts w:hint="eastAsia"/>
          <w:color w:val="auto"/>
          <w:lang w:val="sq-AL"/>
        </w:rPr>
        <w:fldChar w:fldCharType="separate"/>
      </w:r>
      <w:r>
        <w:rPr>
          <w:rFonts w:hint="eastAsia"/>
          <w:color w:val="auto"/>
          <w:lang w:val="sq-AL"/>
        </w:rPr>
        <w:t>钢板</w:t>
      </w:r>
      <w:r>
        <w:rPr>
          <w:rFonts w:hint="eastAsia"/>
          <w:color w:val="auto"/>
          <w:lang w:val="sq-AL"/>
        </w:rPr>
        <w:fldChar w:fldCharType="end"/>
      </w:r>
      <w:r>
        <w:rPr>
          <w:rFonts w:hint="eastAsia"/>
          <w:color w:val="auto"/>
          <w:lang w:val="sq-AL"/>
        </w:rPr>
        <w:t>弯曲变形为圆形、方形等形状后再焊接成的、表面有接缝的钢管，焊接钢管采用的坯料是钢板或</w:t>
      </w:r>
      <w:r>
        <w:rPr>
          <w:rFonts w:hint="eastAsia"/>
          <w:color w:val="auto"/>
          <w:lang w:val="sq-AL"/>
        </w:rPr>
        <w:fldChar w:fldCharType="begin"/>
      </w:r>
      <w:r>
        <w:rPr>
          <w:rFonts w:hint="eastAsia"/>
          <w:color w:val="auto"/>
          <w:lang w:val="sq-AL"/>
        </w:rPr>
        <w:instrText xml:space="preserve"> HYPERLINK "https://baike.baidu.com/item/%E5%B8%A6%E9%92%A2/10601446?fromModule=lemma_inlink" \t "https://baike.baidu.com/item/%E7%84%8A%E6%8E%A5%E9%92%A2%E7%AE%A1/_blank" </w:instrText>
      </w:r>
      <w:r>
        <w:rPr>
          <w:rFonts w:hint="eastAsia"/>
          <w:color w:val="auto"/>
          <w:lang w:val="sq-AL"/>
        </w:rPr>
        <w:fldChar w:fldCharType="separate"/>
      </w:r>
      <w:r>
        <w:rPr>
          <w:rFonts w:hint="eastAsia"/>
          <w:color w:val="auto"/>
          <w:lang w:val="sq-AL"/>
        </w:rPr>
        <w:t>带钢</w:t>
      </w:r>
      <w:r>
        <w:rPr>
          <w:rFonts w:hint="eastAsia"/>
          <w:color w:val="auto"/>
          <w:lang w:val="sq-AL"/>
        </w:rPr>
        <w:fldChar w:fldCharType="end"/>
      </w:r>
      <w:r>
        <w:rPr>
          <w:rFonts w:hint="eastAsia"/>
          <w:color w:val="auto"/>
          <w:lang w:val="sq-AL"/>
        </w:rPr>
        <w:t>。</w:t>
      </w:r>
    </w:p>
    <w:p>
      <w:pPr>
        <w:pStyle w:val="12"/>
        <w:rPr>
          <w:color w:val="auto"/>
          <w:lang w:val="sq-AL"/>
        </w:rPr>
      </w:pPr>
      <w:r>
        <w:rPr>
          <w:rFonts w:hint="eastAsia"/>
          <w:color w:val="auto"/>
          <w:lang w:val="sq-AL" w:eastAsia="zh-CN"/>
        </w:rPr>
        <w:t>焊接钢管防腐做法：</w:t>
      </w:r>
      <w:r>
        <w:rPr>
          <w:rFonts w:hint="eastAsia"/>
          <w:color w:val="auto"/>
          <w:lang w:val="sq-AL"/>
        </w:rPr>
        <w:t xml:space="preserve">管材、零件及内防腐材料和接口处填充料应符合现行国家标准《生活饮用水输配水设备及防护材料卫生安全评价规范》GB/T17219的规定，管壁内防腐采用水泥砂浆衬里，按水发[94]148号文执行，外防腐采用环氧煤沥青四油两布外防腐，作业前要清除补口处的附作物，在已清洗好的焊缝处用经熟化的底漆均匀涂遍全部裸露的金属，并在补口两侧原防腐层上延伸至5公分，底漆表面干后涂面漆，并随缠绕包扎脱蜡玻璃布，缠绕时必须绷紧，力求平整，不出现褶皱、鼓包的现象，压边厚度2.0-2.5毫米。布头搭接100~150毫米，与管身原有外防腐层搭接宽度50毫米。待第一层表面干后，再用同样的方法做第二层，且注意布头搭接位置不能与前一层重叠。  </w:t>
      </w:r>
    </w:p>
    <w:p>
      <w:pPr>
        <w:numPr>
          <w:ilvl w:val="0"/>
          <w:numId w:val="25"/>
        </w:num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合成材料管材（主要指UPVC加强筋管、HDPE管、FRPP等）</w:t>
      </w:r>
    </w:p>
    <w:p>
      <w:pPr>
        <w:numPr>
          <w:ilvl w:val="0"/>
          <w:numId w:val="0"/>
        </w:numPr>
        <w:ind w:firstLine="564" w:firstLineChars="200"/>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合成材料管材是近几年才兴起的新材料、新技术，它主要指UPVC加强筋管、HDPE管、FRPP管等，这些管材的制作必须符合国家和地方有关标准和规定。该类管材的特点主要有：</w:t>
      </w:r>
    </w:p>
    <w:p>
      <w:pPr>
        <w:numPr>
          <w:ilvl w:val="0"/>
          <w:numId w:val="0"/>
        </w:numPr>
        <w:ind w:firstLine="564" w:firstLineChars="20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lang w:val="sq-AL"/>
        </w:rPr>
        <w:t>内壁光滑，水头损失小，节省能耗；材质轻，比重小，便于运输与施工安装；管道接口密封性好，可确保管内污水不外漏，并可顺应地基不均匀沉降，不会产生如硬性混凝土管的脱节断裂现象；耐腐蚀，</w:t>
      </w:r>
      <w:r>
        <w:rPr>
          <w:rFonts w:hint="eastAsia" w:cs="宋体" w:asciiTheme="minorEastAsia" w:hAnsiTheme="minorEastAsia" w:eastAsiaTheme="minorEastAsia"/>
          <w:color w:val="auto"/>
          <w:sz w:val="28"/>
          <w:szCs w:val="21"/>
          <w:highlight w:val="none"/>
          <w:lang w:val="sq-AL" w:eastAsia="zh-CN"/>
        </w:rPr>
        <w:t>使用寿命</w:t>
      </w:r>
      <w:r>
        <w:rPr>
          <w:rFonts w:cs="宋体" w:asciiTheme="minorEastAsia" w:hAnsiTheme="minorEastAsia" w:eastAsiaTheme="minorEastAsia"/>
          <w:color w:val="auto"/>
          <w:sz w:val="28"/>
          <w:szCs w:val="21"/>
          <w:lang w:val="sq-AL"/>
        </w:rPr>
        <w:t>长；单根管道长度长；价格较贵，适用于中、小管径。</w:t>
      </w:r>
    </w:p>
    <w:p>
      <w:pPr>
        <w:pStyle w:val="40"/>
        <w:numPr>
          <w:ilvl w:val="2"/>
          <w:numId w:val="9"/>
        </w:numPr>
        <w:rPr>
          <w:rFonts w:hint="eastAsia" w:cs="宋体" w:asciiTheme="minorEastAsia" w:hAnsiTheme="minorEastAsia" w:eastAsiaTheme="minorEastAsia"/>
          <w:color w:val="auto"/>
          <w:sz w:val="28"/>
          <w:szCs w:val="28"/>
          <w:lang w:eastAsia="zh-CN"/>
        </w:rPr>
      </w:pPr>
      <w:bookmarkStart w:id="62" w:name="_Toc21592625"/>
      <w:bookmarkStart w:id="63" w:name="_Toc513498590"/>
      <w:bookmarkStart w:id="64" w:name="_Toc513498992"/>
      <w:r>
        <w:rPr>
          <w:rFonts w:hint="eastAsia" w:cs="宋体" w:asciiTheme="minorEastAsia" w:hAnsiTheme="minorEastAsia" w:eastAsiaTheme="minorEastAsia"/>
          <w:color w:val="auto"/>
          <w:sz w:val="28"/>
          <w:szCs w:val="28"/>
          <w:lang w:eastAsia="zh-CN"/>
        </w:rPr>
        <w:t>决定管材选用的综合影响因素</w:t>
      </w:r>
      <w:bookmarkEnd w:id="62"/>
      <w:bookmarkEnd w:id="63"/>
      <w:bookmarkEnd w:id="64"/>
    </w:p>
    <w:p>
      <w:p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决定管道材料选择的影响因素很多，主要包括以下的一些因素：</w:t>
      </w:r>
    </w:p>
    <w:p>
      <w:p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（1）施工方法：包括打开挖、维护开挖、顶管、沉管及非开挖（如管道牵引）等施工方法；</w:t>
      </w:r>
    </w:p>
    <w:p>
      <w:p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（2）管材管径及单根管节长度；</w:t>
      </w:r>
    </w:p>
    <w:p>
      <w:p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（3）管道埋深及地下水状况；</w:t>
      </w:r>
    </w:p>
    <w:p>
      <w:p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（4）施工现场具体情况；</w:t>
      </w:r>
    </w:p>
    <w:p>
      <w:p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（5）施工周期；</w:t>
      </w:r>
    </w:p>
    <w:p>
      <w:p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（6）地质状况；</w:t>
      </w:r>
    </w:p>
    <w:p>
      <w:p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（7）回填质量；</w:t>
      </w:r>
    </w:p>
    <w:p>
      <w:p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（8）管材的物理性质；</w:t>
      </w:r>
    </w:p>
    <w:p>
      <w:p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（9）管道接口形式及止水密封性能；</w:t>
      </w:r>
    </w:p>
    <w:p>
      <w:p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（10）管道综合价格：包括管材、运输及施工等综合造价；</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lang w:val="sq-AL"/>
        </w:rPr>
        <w:t>（11）其它影响因素。</w:t>
      </w:r>
    </w:p>
    <w:p>
      <w:pPr>
        <w:pStyle w:val="40"/>
        <w:numPr>
          <w:ilvl w:val="2"/>
          <w:numId w:val="9"/>
        </w:numPr>
        <w:rPr>
          <w:rFonts w:hint="eastAsia" w:cs="宋体" w:asciiTheme="minorEastAsia" w:hAnsiTheme="minorEastAsia" w:eastAsiaTheme="minorEastAsia"/>
          <w:color w:val="auto"/>
          <w:sz w:val="28"/>
          <w:szCs w:val="28"/>
          <w:lang w:eastAsia="zh-CN"/>
        </w:rPr>
      </w:pPr>
      <w:bookmarkStart w:id="65" w:name="_Toc513498591"/>
      <w:bookmarkStart w:id="66" w:name="_Toc513498993"/>
      <w:bookmarkStart w:id="67" w:name="_Toc21592626"/>
      <w:r>
        <w:rPr>
          <w:rFonts w:hint="eastAsia" w:cs="宋体" w:asciiTheme="minorEastAsia" w:hAnsiTheme="minorEastAsia" w:eastAsiaTheme="minorEastAsia"/>
          <w:color w:val="auto"/>
          <w:sz w:val="28"/>
          <w:szCs w:val="28"/>
          <w:lang w:eastAsia="zh-CN"/>
        </w:rPr>
        <w:t>推荐管材</w:t>
      </w:r>
      <w:bookmarkEnd w:id="65"/>
      <w:bookmarkEnd w:id="66"/>
      <w:bookmarkEnd w:id="67"/>
    </w:p>
    <w:p>
      <w:pPr>
        <w:ind w:firstLine="565"/>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lang w:val="sq-AL"/>
        </w:rPr>
        <w:t>通过进行各种排水管材的技术、性能、经济等指标比较，结合本项目建设地点的具体要求、根据施工工法的不同而相应选用不同的管材。</w:t>
      </w:r>
      <w:r>
        <w:rPr>
          <w:rFonts w:cs="宋体" w:asciiTheme="minorEastAsia" w:hAnsiTheme="minorEastAsia" w:eastAsiaTheme="minorEastAsia"/>
          <w:color w:val="auto"/>
          <w:sz w:val="28"/>
          <w:szCs w:val="21"/>
          <w:lang w:val="sq-AL" w:eastAsia="zh-CN"/>
        </w:rPr>
        <w:t>根据《广州市水务局</w:t>
      </w:r>
      <w:r>
        <w:rPr>
          <w:rFonts w:hint="default" w:cs="宋体" w:asciiTheme="minorEastAsia" w:hAnsiTheme="minorEastAsia" w:eastAsiaTheme="minorEastAsia"/>
          <w:color w:val="auto"/>
          <w:sz w:val="28"/>
          <w:szCs w:val="21"/>
          <w:lang w:val="sq-AL" w:eastAsia="zh-CN"/>
        </w:rPr>
        <w:t>广州市生态环境局广州市发展和改革委员会关于印发广州市城镇污水处理提质增效三年行动方案 ( 2019—2021 年）的通知》第四点关于“加强污水管材市场监管，鼓励主要管材由甲方供应，并使用球墨铸铁管等高标准管材”的要求</w:t>
      </w:r>
      <w:r>
        <w:rPr>
          <w:rFonts w:hint="eastAsia" w:cs="宋体" w:asciiTheme="minorEastAsia" w:hAnsiTheme="minorEastAsia" w:eastAsiaTheme="minorEastAsia"/>
          <w:color w:val="auto"/>
          <w:sz w:val="28"/>
          <w:szCs w:val="21"/>
          <w:lang w:val="sq-AL" w:eastAsia="zh-CN"/>
        </w:rPr>
        <w:t>以及广州市河长制办公室文件 穗河长办[2020]36号 《广州市河长制办公室关于提高新建污水管网管材标准，打好水污染防治攻坚战的通知》的</w:t>
      </w:r>
      <w:r>
        <w:rPr>
          <w:rFonts w:cs="宋体" w:asciiTheme="minorEastAsia" w:hAnsiTheme="minorEastAsia" w:eastAsiaTheme="minorEastAsia"/>
          <w:color w:val="auto"/>
          <w:sz w:val="28"/>
          <w:szCs w:val="21"/>
          <w:lang w:val="sq-AL"/>
        </w:rPr>
        <w:t>相关要求，本工程管道选用管道材料如下：</w:t>
      </w:r>
    </w:p>
    <w:p>
      <w:pPr>
        <w:numPr>
          <w:ilvl w:val="0"/>
          <w:numId w:val="26"/>
        </w:numPr>
        <w:ind w:firstLine="565"/>
        <w:rPr>
          <w:rFonts w:cs="宋体" w:asciiTheme="minorEastAsia" w:hAnsiTheme="minorEastAsia" w:eastAsiaTheme="minorEastAsia"/>
          <w:color w:val="auto"/>
          <w:sz w:val="28"/>
          <w:szCs w:val="21"/>
          <w:lang w:val="sq-AL"/>
        </w:rPr>
      </w:pPr>
      <w:r>
        <w:rPr>
          <w:rFonts w:hint="eastAsia" w:cs="宋体" w:asciiTheme="minorEastAsia" w:hAnsiTheme="minorEastAsia" w:eastAsiaTheme="minorEastAsia"/>
          <w:color w:val="auto"/>
          <w:sz w:val="28"/>
          <w:szCs w:val="21"/>
          <w:lang w:val="en-US" w:eastAsia="zh-CN"/>
        </w:rPr>
        <w:t>主管网DN500以下明挖</w:t>
      </w:r>
      <w:r>
        <w:rPr>
          <w:rFonts w:cs="宋体" w:asciiTheme="minorEastAsia" w:hAnsiTheme="minorEastAsia" w:eastAsiaTheme="minorEastAsia"/>
          <w:color w:val="auto"/>
          <w:sz w:val="28"/>
          <w:szCs w:val="21"/>
          <w:lang w:val="sq-AL"/>
        </w:rPr>
        <w:t>施工管道采用II级钢筋混凝土承插圆管，采用</w:t>
      </w:r>
      <w:r>
        <w:rPr>
          <w:rFonts w:hint="eastAsia" w:cs="宋体" w:asciiTheme="minorEastAsia" w:hAnsiTheme="minorEastAsia" w:eastAsiaTheme="minorEastAsia"/>
          <w:color w:val="auto"/>
          <w:sz w:val="28"/>
          <w:szCs w:val="21"/>
          <w:lang w:val="sq-AL" w:eastAsia="zh-CN"/>
        </w:rPr>
        <w:t>承插式乙型接口</w:t>
      </w:r>
      <w:r>
        <w:rPr>
          <w:rFonts w:cs="宋体" w:asciiTheme="minorEastAsia" w:hAnsiTheme="minorEastAsia" w:eastAsiaTheme="minorEastAsia"/>
          <w:color w:val="auto"/>
          <w:sz w:val="28"/>
          <w:szCs w:val="21"/>
          <w:lang w:val="sq-AL"/>
        </w:rPr>
        <w:t>承插连接。</w:t>
      </w:r>
    </w:p>
    <w:p>
      <w:pPr>
        <w:numPr>
          <w:ilvl w:val="0"/>
          <w:numId w:val="26"/>
        </w:numPr>
        <w:ind w:firstLine="565"/>
        <w:rPr>
          <w:rFonts w:hint="default"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DN500-DN1200管采用球墨铸铁管。</w:t>
      </w:r>
    </w:p>
    <w:p>
      <w:pPr>
        <w:numPr>
          <w:ilvl w:val="0"/>
          <w:numId w:val="26"/>
        </w:numPr>
        <w:ind w:firstLine="565"/>
        <w:rPr>
          <w:rFonts w:hint="eastAsia" w:cs="宋体" w:asciiTheme="minorEastAsia" w:hAnsiTheme="minorEastAsia" w:eastAsiaTheme="minorEastAsia"/>
          <w:color w:val="auto"/>
          <w:sz w:val="28"/>
          <w:szCs w:val="21"/>
          <w:lang w:val="sq-AL" w:eastAsia="zh-CN"/>
        </w:rPr>
      </w:pPr>
      <w:r>
        <w:rPr>
          <w:rFonts w:hint="eastAsia" w:cs="宋体" w:asciiTheme="minorEastAsia" w:hAnsiTheme="minorEastAsia" w:eastAsiaTheme="minorEastAsia"/>
          <w:color w:val="auto"/>
          <w:sz w:val="28"/>
          <w:szCs w:val="21"/>
          <w:lang w:val="sq-AL" w:eastAsia="zh-CN"/>
        </w:rPr>
        <w:t>接户管采用</w:t>
      </w:r>
      <w:r>
        <w:rPr>
          <w:rFonts w:hint="eastAsia" w:cs="宋体" w:asciiTheme="minorEastAsia" w:hAnsiTheme="minorEastAsia" w:eastAsiaTheme="minorEastAsia"/>
          <w:color w:val="auto"/>
          <w:sz w:val="28"/>
          <w:szCs w:val="21"/>
          <w:lang w:val="en-US" w:eastAsia="zh-CN"/>
        </w:rPr>
        <w:t>U-PVC管；巷子内采用HDPE双壁波纹管，环刚度≥8KN/m</w:t>
      </w:r>
      <w:r>
        <w:rPr>
          <w:rFonts w:hint="eastAsia" w:cs="宋体" w:asciiTheme="minorEastAsia" w:hAnsiTheme="minorEastAsia" w:eastAsiaTheme="minorEastAsia"/>
          <w:color w:val="auto"/>
          <w:sz w:val="28"/>
          <w:szCs w:val="21"/>
          <w:vertAlign w:val="superscript"/>
          <w:lang w:val="en-US" w:eastAsia="zh-CN"/>
        </w:rPr>
        <w:t>2</w:t>
      </w:r>
      <w:r>
        <w:rPr>
          <w:rFonts w:hint="eastAsia" w:cs="宋体" w:asciiTheme="minorEastAsia" w:hAnsiTheme="minorEastAsia" w:eastAsiaTheme="minorEastAsia"/>
          <w:color w:val="auto"/>
          <w:sz w:val="28"/>
          <w:szCs w:val="21"/>
          <w:lang w:val="en-US" w:eastAsia="zh-CN"/>
        </w:rPr>
        <w:t>。</w:t>
      </w:r>
    </w:p>
    <w:p>
      <w:pPr>
        <w:numPr>
          <w:ilvl w:val="0"/>
          <w:numId w:val="26"/>
        </w:numPr>
        <w:ind w:firstLine="565"/>
        <w:rPr>
          <w:rFonts w:hint="eastAsia" w:cs="宋体" w:asciiTheme="minorEastAsia" w:hAnsiTheme="minorEastAsia" w:eastAsiaTheme="minorEastAsia"/>
          <w:color w:val="auto"/>
          <w:sz w:val="28"/>
          <w:szCs w:val="21"/>
          <w:lang w:val="sq-AL" w:eastAsia="zh-CN"/>
        </w:rPr>
      </w:pPr>
      <w:r>
        <w:rPr>
          <w:rFonts w:hint="eastAsia" w:cs="宋体" w:asciiTheme="minorEastAsia" w:hAnsiTheme="minorEastAsia" w:eastAsiaTheme="minorEastAsia"/>
          <w:color w:val="auto"/>
          <w:sz w:val="28"/>
          <w:szCs w:val="21"/>
          <w:lang w:val="sq-AL" w:eastAsia="zh-CN"/>
        </w:rPr>
        <w:t>在地质较差区域和施工条件较差时，如河边，沼泽地附近时，采用焊接钢管。</w:t>
      </w:r>
    </w:p>
    <w:p>
      <w:pPr>
        <w:pStyle w:val="40"/>
        <w:numPr>
          <w:ilvl w:val="2"/>
          <w:numId w:val="9"/>
        </w:numPr>
        <w:rPr>
          <w:rFonts w:hint="eastAsia" w:cs="宋体" w:asciiTheme="minorEastAsia" w:hAnsiTheme="minorEastAsia" w:eastAsiaTheme="minorEastAsia"/>
          <w:color w:val="auto"/>
          <w:sz w:val="28"/>
          <w:szCs w:val="28"/>
          <w:lang w:eastAsia="zh-CN"/>
        </w:rPr>
      </w:pPr>
      <w:bookmarkStart w:id="68" w:name="_Toc21592627"/>
      <w:bookmarkStart w:id="69" w:name="_Toc513498592"/>
      <w:bookmarkStart w:id="70" w:name="_Toc513498994"/>
      <w:r>
        <w:rPr>
          <w:rFonts w:hint="eastAsia" w:cs="宋体" w:asciiTheme="minorEastAsia" w:hAnsiTheme="minorEastAsia" w:eastAsiaTheme="minorEastAsia"/>
          <w:color w:val="auto"/>
          <w:sz w:val="28"/>
          <w:szCs w:val="28"/>
          <w:lang w:eastAsia="zh-CN"/>
        </w:rPr>
        <w:t>管道基础及施工技术措施</w:t>
      </w:r>
      <w:bookmarkEnd w:id="68"/>
      <w:bookmarkEnd w:id="69"/>
      <w:bookmarkEnd w:id="70"/>
    </w:p>
    <w:p>
      <w:pPr>
        <w:pStyle w:val="73"/>
        <w:numPr>
          <w:ilvl w:val="0"/>
          <w:numId w:val="27"/>
        </w:numPr>
        <w:ind w:firstLine="564" w:firstLineChars="200"/>
        <w:rPr>
          <w:rFonts w:cs="宋体" w:asciiTheme="minorEastAsia" w:hAnsiTheme="minorEastAsia" w:eastAsiaTheme="minorEastAsia"/>
          <w:color w:val="auto"/>
          <w:sz w:val="28"/>
          <w:szCs w:val="21"/>
        </w:rPr>
      </w:pPr>
      <w:bookmarkStart w:id="71" w:name="_Toc513498995"/>
      <w:bookmarkStart w:id="72" w:name="_Toc21592628"/>
      <w:bookmarkStart w:id="73" w:name="_Toc513498593"/>
      <w:r>
        <w:rPr>
          <w:rFonts w:cs="宋体" w:asciiTheme="minorEastAsia" w:hAnsiTheme="minorEastAsia" w:eastAsiaTheme="minorEastAsia"/>
          <w:color w:val="auto"/>
          <w:sz w:val="28"/>
          <w:szCs w:val="21"/>
        </w:rPr>
        <w:t>管道基础</w:t>
      </w:r>
      <w:bookmarkEnd w:id="71"/>
      <w:bookmarkEnd w:id="72"/>
      <w:bookmarkEnd w:id="73"/>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结合地质概况，明挖段的钢筋混凝土管基础</w:t>
      </w:r>
      <w:r>
        <w:rPr>
          <w:rFonts w:hint="eastAsia" w:cs="宋体" w:asciiTheme="minorEastAsia" w:hAnsiTheme="minorEastAsia" w:eastAsiaTheme="minorEastAsia"/>
          <w:color w:val="auto"/>
          <w:kern w:val="0"/>
          <w:sz w:val="28"/>
          <w:szCs w:val="21"/>
          <w:lang w:val="sq-AL" w:eastAsia="zh-CN"/>
        </w:rPr>
        <w:t>及回填</w:t>
      </w:r>
      <w:r>
        <w:rPr>
          <w:rFonts w:cs="宋体" w:asciiTheme="minorEastAsia" w:hAnsiTheme="minorEastAsia" w:eastAsiaTheme="minorEastAsia"/>
          <w:color w:val="auto"/>
          <w:kern w:val="0"/>
          <w:sz w:val="28"/>
          <w:szCs w:val="21"/>
          <w:lang w:val="sq-AL"/>
        </w:rPr>
        <w:t>参照下列做法。</w:t>
      </w:r>
    </w:p>
    <w:p>
      <w:pPr>
        <w:pStyle w:val="43"/>
        <w:rPr>
          <w:rFonts w:cs="宋体" w:asciiTheme="minorEastAsia" w:hAnsiTheme="minorEastAsia" w:eastAsiaTheme="minorEastAsia"/>
          <w:color w:val="auto"/>
          <w:sz w:val="28"/>
          <w:szCs w:val="18"/>
        </w:rPr>
      </w:pPr>
      <w:r>
        <w:rPr>
          <w:rFonts w:cs="宋体" w:asciiTheme="minorEastAsia" w:hAnsiTheme="minorEastAsia" w:eastAsiaTheme="minorEastAsia"/>
          <w:color w:val="auto"/>
          <w:sz w:val="28"/>
          <w:szCs w:val="18"/>
        </w:rPr>
        <w:drawing>
          <wp:inline distT="0" distB="0" distL="0" distR="0">
            <wp:extent cx="3633470" cy="3101340"/>
            <wp:effectExtent l="0" t="0" r="5080"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78"/>
                    <a:stretch>
                      <a:fillRect/>
                    </a:stretch>
                  </pic:blipFill>
                  <pic:spPr>
                    <a:xfrm>
                      <a:off x="0" y="0"/>
                      <a:ext cx="3633470" cy="3101340"/>
                    </a:xfrm>
                    <a:prstGeom prst="rect">
                      <a:avLst/>
                    </a:prstGeom>
                  </pic:spPr>
                </pic:pic>
              </a:graphicData>
            </a:graphic>
          </wp:inline>
        </w:drawing>
      </w:r>
    </w:p>
    <w:p>
      <w:pPr>
        <w:pStyle w:val="44"/>
        <w:numPr>
          <w:ilvl w:val="8"/>
          <w:numId w:val="28"/>
        </w:numPr>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钢筋混凝土</w:t>
      </w:r>
      <w:r>
        <w:rPr>
          <w:rFonts w:cs="宋体" w:asciiTheme="minorEastAsia" w:hAnsiTheme="minorEastAsia" w:eastAsiaTheme="minorEastAsia"/>
          <w:color w:val="auto"/>
          <w:sz w:val="28"/>
          <w:szCs w:val="21"/>
          <w:highlight w:val="none"/>
        </w:rPr>
        <w:t>管管</w:t>
      </w:r>
      <w:r>
        <w:rPr>
          <w:rFonts w:cs="宋体" w:asciiTheme="minorEastAsia" w:hAnsiTheme="minorEastAsia" w:eastAsiaTheme="minorEastAsia"/>
          <w:color w:val="auto"/>
          <w:sz w:val="28"/>
          <w:szCs w:val="21"/>
        </w:rPr>
        <w:t>道基础及回填大样图</w:t>
      </w:r>
    </w:p>
    <w:p>
      <w:pPr>
        <w:rPr>
          <w:rFonts w:cs="宋体"/>
          <w:color w:val="auto"/>
          <w:sz w:val="28"/>
          <w:szCs w:val="21"/>
        </w:rPr>
      </w:pPr>
      <w:r>
        <w:rPr>
          <w:rFonts w:cs="宋体" w:asciiTheme="minorEastAsia" w:hAnsiTheme="minorEastAsia" w:eastAsiaTheme="minorEastAsia"/>
          <w:color w:val="auto"/>
          <w:kern w:val="0"/>
          <w:sz w:val="28"/>
          <w:szCs w:val="21"/>
          <w:lang w:val="sq-AL"/>
        </w:rPr>
        <w:t>明挖段的</w:t>
      </w:r>
      <w:r>
        <w:rPr>
          <w:rFonts w:hint="eastAsia" w:cs="宋体" w:asciiTheme="minorEastAsia" w:hAnsiTheme="minorEastAsia" w:eastAsiaTheme="minorEastAsia"/>
          <w:color w:val="auto"/>
          <w:kern w:val="0"/>
          <w:sz w:val="28"/>
          <w:szCs w:val="21"/>
          <w:lang w:val="sq-AL" w:eastAsia="zh-CN"/>
        </w:rPr>
        <w:t>球墨铸铁管</w:t>
      </w:r>
      <w:r>
        <w:rPr>
          <w:rFonts w:cs="宋体" w:asciiTheme="minorEastAsia" w:hAnsiTheme="minorEastAsia" w:eastAsiaTheme="minorEastAsia"/>
          <w:color w:val="auto"/>
          <w:kern w:val="0"/>
          <w:sz w:val="28"/>
          <w:szCs w:val="21"/>
          <w:lang w:val="sq-AL"/>
        </w:rPr>
        <w:t>基础</w:t>
      </w:r>
      <w:r>
        <w:rPr>
          <w:rFonts w:hint="eastAsia" w:cs="宋体" w:asciiTheme="minorEastAsia" w:hAnsiTheme="minorEastAsia" w:eastAsiaTheme="minorEastAsia"/>
          <w:color w:val="auto"/>
          <w:kern w:val="0"/>
          <w:sz w:val="28"/>
          <w:szCs w:val="21"/>
          <w:lang w:val="sq-AL" w:eastAsia="zh-CN"/>
        </w:rPr>
        <w:t>及回填</w:t>
      </w:r>
      <w:r>
        <w:rPr>
          <w:rFonts w:cs="宋体" w:asciiTheme="minorEastAsia" w:hAnsiTheme="minorEastAsia" w:eastAsiaTheme="minorEastAsia"/>
          <w:color w:val="auto"/>
          <w:kern w:val="0"/>
          <w:sz w:val="28"/>
          <w:szCs w:val="21"/>
          <w:lang w:val="sq-AL"/>
        </w:rPr>
        <w:t>参照下列做法。</w:t>
      </w:r>
    </w:p>
    <w:p>
      <w:pPr>
        <w:jc w:val="center"/>
        <w:rPr>
          <w:rFonts w:cs="宋体"/>
          <w:color w:val="auto"/>
          <w:sz w:val="28"/>
          <w:szCs w:val="21"/>
        </w:rPr>
      </w:pPr>
      <w:r>
        <w:rPr>
          <w:rFonts w:cs="宋体"/>
          <w:color w:val="auto"/>
          <w:sz w:val="28"/>
          <w:szCs w:val="21"/>
        </w:rPr>
        <w:drawing>
          <wp:inline distT="0" distB="0" distL="114300" distR="114300">
            <wp:extent cx="3535045" cy="3150870"/>
            <wp:effectExtent l="0" t="0" r="8255" b="1143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79"/>
                    <a:stretch>
                      <a:fillRect/>
                    </a:stretch>
                  </pic:blipFill>
                  <pic:spPr>
                    <a:xfrm>
                      <a:off x="0" y="0"/>
                      <a:ext cx="3535045" cy="3150870"/>
                    </a:xfrm>
                    <a:prstGeom prst="rect">
                      <a:avLst/>
                    </a:prstGeom>
                    <a:noFill/>
                    <a:ln>
                      <a:noFill/>
                    </a:ln>
                  </pic:spPr>
                </pic:pic>
              </a:graphicData>
            </a:graphic>
          </wp:inline>
        </w:drawing>
      </w:r>
    </w:p>
    <w:p>
      <w:pPr>
        <w:pStyle w:val="44"/>
        <w:numPr>
          <w:ilvl w:val="8"/>
          <w:numId w:val="28"/>
        </w:numPr>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钢筋混凝土</w:t>
      </w:r>
      <w:r>
        <w:rPr>
          <w:rFonts w:cs="宋体" w:asciiTheme="minorEastAsia" w:hAnsiTheme="minorEastAsia" w:eastAsiaTheme="minorEastAsia"/>
          <w:color w:val="auto"/>
          <w:sz w:val="28"/>
          <w:szCs w:val="21"/>
          <w:highlight w:val="none"/>
        </w:rPr>
        <w:t>管管</w:t>
      </w:r>
      <w:r>
        <w:rPr>
          <w:rFonts w:cs="宋体" w:asciiTheme="minorEastAsia" w:hAnsiTheme="minorEastAsia" w:eastAsiaTheme="minorEastAsia"/>
          <w:color w:val="auto"/>
          <w:sz w:val="28"/>
          <w:szCs w:val="21"/>
        </w:rPr>
        <w:t>道基础及回填大样图</w:t>
      </w:r>
    </w:p>
    <w:p>
      <w:pPr>
        <w:pStyle w:val="73"/>
        <w:numPr>
          <w:ilvl w:val="0"/>
          <w:numId w:val="27"/>
        </w:numPr>
        <w:ind w:firstLine="564" w:firstLineChars="200"/>
        <w:rPr>
          <w:rFonts w:cs="宋体" w:asciiTheme="minorEastAsia" w:hAnsiTheme="minorEastAsia" w:eastAsiaTheme="minorEastAsia"/>
          <w:color w:val="auto"/>
          <w:sz w:val="28"/>
          <w:szCs w:val="21"/>
        </w:rPr>
      </w:pPr>
      <w:bookmarkStart w:id="74" w:name="_Toc513498996"/>
      <w:bookmarkStart w:id="75" w:name="_Toc21592629"/>
      <w:bookmarkStart w:id="76" w:name="_Toc513498594"/>
      <w:r>
        <w:rPr>
          <w:rFonts w:cs="宋体" w:asciiTheme="minorEastAsia" w:hAnsiTheme="minorEastAsia" w:eastAsiaTheme="minorEastAsia"/>
          <w:color w:val="auto"/>
          <w:sz w:val="28"/>
          <w:szCs w:val="21"/>
        </w:rPr>
        <w:t>管道施工方法</w:t>
      </w:r>
      <w:bookmarkEnd w:id="74"/>
      <w:bookmarkEnd w:id="75"/>
      <w:bookmarkEnd w:id="76"/>
    </w:p>
    <w:p>
      <w:pPr>
        <w:pStyle w:val="12"/>
        <w:rPr>
          <w:rFonts w:cs="宋体" w:asciiTheme="minorEastAsia" w:hAnsiTheme="minorEastAsia" w:eastAsiaTheme="minorEastAsia"/>
          <w:color w:val="auto"/>
          <w:kern w:val="0"/>
          <w:sz w:val="28"/>
          <w:szCs w:val="21"/>
          <w:lang w:val="sq-AL"/>
        </w:rPr>
      </w:pPr>
      <w:r>
        <w:rPr>
          <w:rFonts w:hint="eastAsia" w:cs="宋体" w:asciiTheme="minorEastAsia" w:hAnsiTheme="minorEastAsia" w:eastAsiaTheme="minorEastAsia"/>
          <w:color w:val="auto"/>
          <w:kern w:val="0"/>
          <w:sz w:val="28"/>
          <w:szCs w:val="21"/>
          <w:lang w:val="sq-AL" w:eastAsia="zh-CN"/>
        </w:rPr>
        <w:t>开挖方式比选：</w:t>
      </w:r>
    </w:p>
    <w:p>
      <w:pPr>
        <w:autoSpaceDE w:val="0"/>
        <w:autoSpaceDN w:val="0"/>
        <w:ind w:right="228" w:firstLine="565"/>
        <w:rPr>
          <w:rFonts w:hint="eastAsia" w:cs="宋体" w:asciiTheme="minorEastAsia" w:hAnsiTheme="minorEastAsia" w:eastAsiaTheme="minorEastAsia"/>
          <w:color w:val="auto"/>
          <w:kern w:val="0"/>
          <w:sz w:val="28"/>
          <w:szCs w:val="21"/>
          <w:lang w:val="sq-AL" w:eastAsia="zh-CN"/>
        </w:rPr>
      </w:pPr>
      <w:r>
        <w:rPr>
          <w:rFonts w:cs="宋体" w:asciiTheme="minorEastAsia" w:hAnsiTheme="minorEastAsia" w:eastAsiaTheme="minorEastAsia"/>
          <w:color w:val="auto"/>
          <w:kern w:val="0"/>
          <w:sz w:val="28"/>
          <w:szCs w:val="21"/>
          <w:lang w:val="sq-AL"/>
        </w:rPr>
        <w:t>在本工程中使用的管材主要有：</w:t>
      </w:r>
      <w:r>
        <w:rPr>
          <w:rFonts w:hint="eastAsia" w:cs="宋体" w:asciiTheme="minorEastAsia" w:hAnsiTheme="minorEastAsia" w:eastAsiaTheme="minorEastAsia"/>
          <w:color w:val="auto"/>
          <w:kern w:val="0"/>
          <w:sz w:val="28"/>
          <w:szCs w:val="21"/>
          <w:lang w:val="sq-AL" w:eastAsia="zh-CN"/>
        </w:rPr>
        <w:t>钢筋混凝土管、球墨铸铁管</w:t>
      </w:r>
      <w:r>
        <w:rPr>
          <w:rFonts w:cs="宋体" w:asciiTheme="minorEastAsia" w:hAnsiTheme="minorEastAsia" w:eastAsiaTheme="minorEastAsia"/>
          <w:color w:val="auto"/>
          <w:kern w:val="0"/>
          <w:sz w:val="28"/>
          <w:szCs w:val="21"/>
          <w:lang w:val="sq-AL"/>
        </w:rPr>
        <w:t>、钢管。管道的施工方法主要为明挖施工</w:t>
      </w:r>
      <w:r>
        <w:rPr>
          <w:rFonts w:hint="eastAsia" w:cs="宋体" w:asciiTheme="minorEastAsia" w:hAnsiTheme="minorEastAsia" w:eastAsiaTheme="minorEastAsia"/>
          <w:color w:val="auto"/>
          <w:kern w:val="0"/>
          <w:sz w:val="28"/>
          <w:szCs w:val="21"/>
          <w:lang w:val="sq-AL" w:eastAsia="zh-CN"/>
        </w:rPr>
        <w:t>；横穿国道处按相关部门要求，采用牵引施工。</w:t>
      </w:r>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放坡开挖：当沟槽开挖深度较大时，应合理确定分层开挖的深度。沟槽的开挖深度超过3m时应分层开挖。每层的深度不宜超过2m。人工开挖多层沟槽的层间留台宽度：放坡时不应小于0.8m，安装井点设备时不应小于1.5m。沟槽开挖宜分段快速施工，敞口时间不宜过长，管道安装完毕及时验收合格后，应立即回填沟槽。</w:t>
      </w:r>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垂直开挖：在管道施工时，多数场地、土质及管线难以满足沟槽放坡开挖的要求，而只得做成直槽（边坡坡度一般为</w:t>
      </w:r>
      <w:r>
        <w:rPr>
          <w:rFonts w:hint="eastAsia" w:cs="宋体" w:asciiTheme="minorEastAsia" w:hAnsiTheme="minorEastAsia" w:eastAsiaTheme="minorEastAsia"/>
          <w:color w:val="auto"/>
          <w:kern w:val="0"/>
          <w:sz w:val="28"/>
          <w:szCs w:val="21"/>
          <w:lang w:val="en-US" w:eastAsia="zh-CN"/>
        </w:rPr>
        <w:t>1</w:t>
      </w:r>
      <w:r>
        <w:rPr>
          <w:rFonts w:cs="宋体" w:asciiTheme="minorEastAsia" w:hAnsiTheme="minorEastAsia" w:eastAsiaTheme="minorEastAsia"/>
          <w:color w:val="auto"/>
          <w:kern w:val="0"/>
          <w:sz w:val="28"/>
          <w:szCs w:val="21"/>
          <w:lang w:val="sq-AL"/>
        </w:rPr>
        <w:t>∶</w:t>
      </w:r>
      <w:r>
        <w:rPr>
          <w:rFonts w:hint="eastAsia" w:cs="宋体" w:asciiTheme="minorEastAsia" w:hAnsiTheme="minorEastAsia" w:eastAsiaTheme="minorEastAsia"/>
          <w:color w:val="auto"/>
          <w:kern w:val="0"/>
          <w:sz w:val="28"/>
          <w:szCs w:val="21"/>
          <w:lang w:val="en-US" w:eastAsia="zh-CN"/>
        </w:rPr>
        <w:t>0.05</w:t>
      </w:r>
      <w:r>
        <w:rPr>
          <w:rFonts w:cs="宋体" w:asciiTheme="minorEastAsia" w:hAnsiTheme="minorEastAsia" w:eastAsiaTheme="minorEastAsia"/>
          <w:color w:val="auto"/>
          <w:kern w:val="0"/>
          <w:sz w:val="28"/>
          <w:szCs w:val="21"/>
          <w:lang w:val="sq-AL"/>
        </w:rPr>
        <w:t>）。开挖直槽时应及时支撑，以免沟槽出现塌方，影响施工、危及人身和管线安全。在地质条件较好、</w:t>
      </w:r>
      <w:r>
        <w:rPr>
          <w:rFonts w:hint="eastAsia" w:cs="宋体" w:asciiTheme="minorEastAsia" w:hAnsiTheme="minorEastAsia" w:eastAsiaTheme="minorEastAsia"/>
          <w:color w:val="auto"/>
          <w:kern w:val="0"/>
          <w:sz w:val="28"/>
          <w:szCs w:val="21"/>
          <w:lang w:val="en-US" w:eastAsia="zh-CN"/>
        </w:rPr>
        <w:t>1.2m＜</w:t>
      </w:r>
      <w:r>
        <w:rPr>
          <w:rFonts w:cs="宋体" w:asciiTheme="minorEastAsia" w:hAnsiTheme="minorEastAsia" w:eastAsiaTheme="minorEastAsia"/>
          <w:color w:val="auto"/>
          <w:kern w:val="0"/>
          <w:sz w:val="28"/>
          <w:szCs w:val="21"/>
          <w:lang w:val="sq-AL"/>
        </w:rPr>
        <w:t>槽深≤</w:t>
      </w:r>
      <w:r>
        <w:rPr>
          <w:rFonts w:hint="eastAsia" w:cs="宋体" w:asciiTheme="minorEastAsia" w:hAnsiTheme="minorEastAsia" w:eastAsiaTheme="minorEastAsia"/>
          <w:color w:val="auto"/>
          <w:kern w:val="0"/>
          <w:sz w:val="28"/>
          <w:szCs w:val="21"/>
          <w:lang w:val="en-US" w:eastAsia="zh-CN"/>
        </w:rPr>
        <w:t>2.5</w:t>
      </w:r>
      <w:r>
        <w:rPr>
          <w:rFonts w:cs="宋体" w:asciiTheme="minorEastAsia" w:hAnsiTheme="minorEastAsia" w:eastAsiaTheme="minorEastAsia"/>
          <w:color w:val="auto"/>
          <w:kern w:val="0"/>
          <w:sz w:val="28"/>
          <w:szCs w:val="21"/>
          <w:lang w:val="sq-AL"/>
        </w:rPr>
        <w:t>m时，一般采用木板支撑；当槽深</w:t>
      </w:r>
      <w:r>
        <w:rPr>
          <w:rFonts w:cs="宋体" w:asciiTheme="minorEastAsia" w:hAnsiTheme="minorEastAsia" w:eastAsiaTheme="minorEastAsia"/>
          <w:color w:val="auto"/>
          <w:kern w:val="0"/>
          <w:sz w:val="28"/>
          <w:szCs w:val="21"/>
          <w:highlight w:val="none"/>
          <w:lang w:val="sq-AL"/>
        </w:rPr>
        <w:t>&gt;</w:t>
      </w:r>
      <w:r>
        <w:rPr>
          <w:rFonts w:hint="eastAsia" w:cs="宋体" w:asciiTheme="minorEastAsia" w:hAnsiTheme="minorEastAsia" w:eastAsiaTheme="minorEastAsia"/>
          <w:color w:val="auto"/>
          <w:kern w:val="0"/>
          <w:sz w:val="28"/>
          <w:szCs w:val="21"/>
          <w:lang w:val="en-US" w:eastAsia="zh-CN"/>
        </w:rPr>
        <w:t>2.5</w:t>
      </w:r>
      <w:r>
        <w:rPr>
          <w:rFonts w:cs="宋体" w:asciiTheme="minorEastAsia" w:hAnsiTheme="minorEastAsia" w:eastAsiaTheme="minorEastAsia"/>
          <w:color w:val="auto"/>
          <w:kern w:val="0"/>
          <w:sz w:val="28"/>
          <w:szCs w:val="21"/>
          <w:lang w:val="sq-AL"/>
        </w:rPr>
        <w:t>m或在地质条件较差、地下水位高的地段可采用</w:t>
      </w:r>
      <w:r>
        <w:rPr>
          <w:rFonts w:hint="eastAsia" w:cs="宋体" w:asciiTheme="minorEastAsia" w:hAnsiTheme="minorEastAsia" w:eastAsiaTheme="minorEastAsia"/>
          <w:color w:val="auto"/>
          <w:kern w:val="0"/>
          <w:sz w:val="28"/>
          <w:szCs w:val="21"/>
          <w:lang w:val="sq-AL" w:eastAsia="zh-CN"/>
        </w:rPr>
        <w:t>槽钢或</w:t>
      </w:r>
      <w:r>
        <w:rPr>
          <w:rFonts w:cs="宋体" w:asciiTheme="minorEastAsia" w:hAnsiTheme="minorEastAsia" w:eastAsiaTheme="minorEastAsia"/>
          <w:color w:val="auto"/>
          <w:kern w:val="0"/>
          <w:sz w:val="28"/>
          <w:szCs w:val="21"/>
          <w:lang w:val="sq-AL"/>
        </w:rPr>
        <w:t>钢板桩支撑，必要时加做腰梁和水平内支撑。</w:t>
      </w:r>
    </w:p>
    <w:p>
      <w:pPr>
        <w:pStyle w:val="12"/>
        <w:rPr>
          <w:rFonts w:cs="宋体" w:asciiTheme="minorEastAsia" w:hAnsiTheme="minorEastAsia" w:eastAsiaTheme="minorEastAsia"/>
          <w:color w:val="auto"/>
          <w:kern w:val="0"/>
          <w:sz w:val="28"/>
          <w:szCs w:val="21"/>
          <w:lang w:val="sq-AL"/>
        </w:rPr>
      </w:pPr>
      <w:r>
        <w:rPr>
          <w:rFonts w:hint="eastAsia" w:cs="宋体" w:asciiTheme="minorEastAsia" w:hAnsiTheme="minorEastAsia" w:eastAsiaTheme="minorEastAsia"/>
          <w:color w:val="auto"/>
          <w:kern w:val="0"/>
          <w:sz w:val="28"/>
          <w:szCs w:val="21"/>
          <w:lang w:val="sq-AL" w:eastAsia="zh-CN"/>
        </w:rPr>
        <w:t>结论：</w:t>
      </w:r>
      <w:r>
        <w:rPr>
          <w:rFonts w:cs="宋体" w:asciiTheme="minorEastAsia" w:hAnsiTheme="minorEastAsia" w:eastAsiaTheme="minorEastAsia"/>
          <w:color w:val="auto"/>
          <w:kern w:val="0"/>
          <w:sz w:val="28"/>
          <w:szCs w:val="21"/>
          <w:lang w:val="sq-AL"/>
        </w:rPr>
        <w:t>本工程开挖</w:t>
      </w:r>
      <w:r>
        <w:rPr>
          <w:rFonts w:hint="eastAsia" w:cs="宋体" w:asciiTheme="minorEastAsia" w:hAnsiTheme="minorEastAsia" w:eastAsiaTheme="minorEastAsia"/>
          <w:color w:val="auto"/>
          <w:kern w:val="0"/>
          <w:sz w:val="28"/>
          <w:szCs w:val="21"/>
          <w:lang w:val="sq-AL" w:eastAsia="zh-CN"/>
        </w:rPr>
        <w:t>大部分管线开挖深度较大，开挖横断面较宽，且敷设位置</w:t>
      </w:r>
      <w:r>
        <w:rPr>
          <w:rFonts w:cs="宋体" w:asciiTheme="minorEastAsia" w:hAnsiTheme="minorEastAsia" w:eastAsiaTheme="minorEastAsia"/>
          <w:color w:val="auto"/>
          <w:kern w:val="0"/>
          <w:sz w:val="28"/>
          <w:szCs w:val="21"/>
          <w:lang w:val="sq-AL"/>
        </w:rPr>
        <w:t>位于</w:t>
      </w:r>
      <w:r>
        <w:rPr>
          <w:rFonts w:hint="eastAsia" w:cs="宋体" w:asciiTheme="minorEastAsia" w:hAnsiTheme="minorEastAsia" w:eastAsiaTheme="minorEastAsia"/>
          <w:color w:val="auto"/>
          <w:kern w:val="0"/>
          <w:sz w:val="28"/>
          <w:szCs w:val="21"/>
          <w:lang w:val="sq-AL" w:eastAsia="zh-CN"/>
        </w:rPr>
        <w:t>国道边路肩处或占用农田</w:t>
      </w:r>
      <w:r>
        <w:rPr>
          <w:rFonts w:cs="宋体" w:asciiTheme="minorEastAsia" w:hAnsiTheme="minorEastAsia" w:eastAsiaTheme="minorEastAsia"/>
          <w:color w:val="auto"/>
          <w:kern w:val="0"/>
          <w:sz w:val="28"/>
          <w:szCs w:val="21"/>
          <w:lang w:val="sq-AL"/>
        </w:rPr>
        <w:t>，</w:t>
      </w:r>
      <w:r>
        <w:rPr>
          <w:rFonts w:hint="eastAsia" w:cs="宋体" w:asciiTheme="minorEastAsia" w:hAnsiTheme="minorEastAsia" w:eastAsiaTheme="minorEastAsia"/>
          <w:color w:val="auto"/>
          <w:kern w:val="0"/>
          <w:sz w:val="28"/>
          <w:szCs w:val="21"/>
          <w:lang w:val="sq-AL" w:eastAsia="zh-CN"/>
        </w:rPr>
        <w:t>故</w:t>
      </w:r>
      <w:r>
        <w:rPr>
          <w:rFonts w:cs="宋体" w:asciiTheme="minorEastAsia" w:hAnsiTheme="minorEastAsia" w:eastAsiaTheme="minorEastAsia"/>
          <w:color w:val="auto"/>
          <w:kern w:val="0"/>
          <w:sz w:val="28"/>
          <w:szCs w:val="21"/>
          <w:lang w:val="sq-AL"/>
        </w:rPr>
        <w:t>建议采用垂直开挖施工</w:t>
      </w:r>
      <w:r>
        <w:rPr>
          <w:rFonts w:hint="eastAsia" w:cs="宋体" w:asciiTheme="minorEastAsia" w:hAnsiTheme="minorEastAsia" w:eastAsiaTheme="minorEastAsia"/>
          <w:color w:val="auto"/>
          <w:kern w:val="0"/>
          <w:sz w:val="28"/>
          <w:szCs w:val="21"/>
          <w:lang w:val="sq-AL" w:eastAsia="zh-CN"/>
        </w:rPr>
        <w:t>方</w:t>
      </w:r>
      <w:r>
        <w:rPr>
          <w:rFonts w:cs="宋体" w:asciiTheme="minorEastAsia" w:hAnsiTheme="minorEastAsia" w:eastAsiaTheme="minorEastAsia"/>
          <w:color w:val="auto"/>
          <w:kern w:val="0"/>
          <w:sz w:val="28"/>
          <w:szCs w:val="21"/>
          <w:lang w:val="sq-AL"/>
        </w:rPr>
        <w:t>法。</w:t>
      </w:r>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施工排水或降水：在地下水充沛的地区，沟槽采用明挖施工时，开挖深度越大，施工难度就越大。但当管槽开挖深度≤5米时，采用一般的支护结构和适当的排水和降水措施就能顺利施工，因此，明挖施工是较为经济的施工方法。其重要的施工措施是做好地下水的排水和降水。</w:t>
      </w:r>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施工排水的目的：就是防止沟槽开挖过程中地面水流入沟槽内，造成开挖面塌方、土体泡软、管道漂浮事故。开挖沟槽前，地下水位至少要降到沟槽底下设计标高0.5米，以保证沟槽处于疏干状态，地基不被扰动。所以在施工时，应做好地面排水及沟槽内排水措施。</w:t>
      </w:r>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地面排水：根据地形开挖排水沟，将地面水引入河道或排水管道内。适用于在作业面较宽、地下水量不大、且沟槽深度不大于4m时采用。</w:t>
      </w:r>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沟槽排水：可采用明沟排水，人工降低地下水位的方法，如：井点法。井点法适用于管道大部分沿现有道路布置，因道路不能因为施工而阻断，施工场地一般都不宽裕时采用。根据土质、涌水量、降水深度，可选用单层轻质型井点、多层轻质型井点、电渗井点、管井井点、深井井点等方法，降低地下水位。</w:t>
      </w:r>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开槽埋管的基础与软基处理，将根据详勘资料区别对待。由于塑料管和雨污水的加权容重远小于原土重，管道敷设后的基础附加应力并不大，基础或地基处理的主要目的是为了解决基坑开挖、敷管阶段的软土回弹和扰动。</w:t>
      </w:r>
    </w:p>
    <w:p>
      <w:pPr>
        <w:autoSpaceDE w:val="0"/>
        <w:autoSpaceDN w:val="0"/>
        <w:ind w:right="228" w:firstLine="565"/>
        <w:rPr>
          <w:rFonts w:cs="宋体" w:asciiTheme="minorEastAsia" w:hAnsiTheme="minorEastAsia" w:eastAsiaTheme="minorEastAsia"/>
          <w:b/>
          <w:bCs/>
          <w:color w:val="auto"/>
          <w:sz w:val="28"/>
          <w:szCs w:val="24"/>
        </w:rPr>
      </w:pPr>
      <w:r>
        <w:rPr>
          <w:rFonts w:cs="宋体" w:asciiTheme="minorEastAsia" w:hAnsiTheme="minorEastAsia" w:eastAsiaTheme="minorEastAsia"/>
          <w:color w:val="auto"/>
          <w:kern w:val="0"/>
          <w:sz w:val="28"/>
          <w:szCs w:val="21"/>
          <w:lang w:val="sq-AL"/>
        </w:rPr>
        <w:t>根据现有初探资料结合本片区常规地质情况，当管基为较厚良好土层时，采用碎石辅以砂褥垫基础；管道下地基较差但土层较薄时，可采用砂石换填处理；只有当管下地基极差，并软弱下卧层较厚时采用搅拌桩或粉喷桩等作复合地基处理。</w:t>
      </w:r>
    </w:p>
    <w:p>
      <w:pPr>
        <w:pStyle w:val="40"/>
        <w:numPr>
          <w:ilvl w:val="2"/>
          <w:numId w:val="9"/>
        </w:numPr>
        <w:rPr>
          <w:rFonts w:hint="eastAsia" w:cs="宋体" w:asciiTheme="minorEastAsia" w:hAnsiTheme="minorEastAsia" w:eastAsiaTheme="minorEastAsia"/>
          <w:color w:val="auto"/>
          <w:sz w:val="28"/>
          <w:szCs w:val="28"/>
          <w:lang w:eastAsia="zh-CN"/>
        </w:rPr>
      </w:pPr>
      <w:bookmarkStart w:id="77" w:name="_Toc513498595"/>
      <w:bookmarkStart w:id="78" w:name="_Toc21592630"/>
      <w:bookmarkStart w:id="79" w:name="_Toc513498997"/>
      <w:r>
        <w:rPr>
          <w:rFonts w:hint="eastAsia" w:cs="宋体" w:asciiTheme="minorEastAsia" w:hAnsiTheme="minorEastAsia" w:eastAsiaTheme="minorEastAsia"/>
          <w:color w:val="auto"/>
          <w:sz w:val="28"/>
          <w:szCs w:val="28"/>
          <w:lang w:eastAsia="zh-CN"/>
        </w:rPr>
        <w:t>地基处理</w:t>
      </w:r>
      <w:bookmarkEnd w:id="77"/>
      <w:bookmarkEnd w:id="78"/>
      <w:bookmarkEnd w:id="79"/>
      <w:r>
        <w:rPr>
          <w:rFonts w:hint="eastAsia" w:cs="宋体" w:asciiTheme="minorEastAsia" w:hAnsiTheme="minorEastAsia" w:eastAsiaTheme="minorEastAsia"/>
          <w:color w:val="auto"/>
          <w:sz w:val="28"/>
          <w:szCs w:val="28"/>
          <w:lang w:eastAsia="zh-CN"/>
        </w:rPr>
        <w:t>方式比选</w:t>
      </w:r>
    </w:p>
    <w:p>
      <w:pPr>
        <w:pStyle w:val="73"/>
        <w:numPr>
          <w:ilvl w:val="0"/>
          <w:numId w:val="29"/>
        </w:numPr>
        <w:ind w:left="564" w:leftChars="200" w:firstLine="0"/>
        <w:rPr>
          <w:rFonts w:cs="宋体" w:asciiTheme="minorEastAsia" w:hAnsiTheme="minorEastAsia" w:eastAsiaTheme="minorEastAsia"/>
          <w:color w:val="auto"/>
          <w:sz w:val="28"/>
          <w:szCs w:val="21"/>
        </w:rPr>
      </w:pPr>
      <w:bookmarkStart w:id="80" w:name="_Toc513498998"/>
      <w:bookmarkStart w:id="81" w:name="_Toc21592631"/>
      <w:bookmarkStart w:id="82" w:name="_Toc513498596"/>
      <w:r>
        <w:rPr>
          <w:rFonts w:cs="宋体" w:asciiTheme="minorEastAsia" w:hAnsiTheme="minorEastAsia" w:eastAsiaTheme="minorEastAsia"/>
          <w:color w:val="auto"/>
          <w:sz w:val="28"/>
          <w:szCs w:val="21"/>
        </w:rPr>
        <w:t>地基处理概述</w:t>
      </w:r>
      <w:bookmarkEnd w:id="80"/>
      <w:bookmarkEnd w:id="81"/>
      <w:bookmarkEnd w:id="82"/>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管道基础处理根据施工方法不同分为开挖法施工地基处理及非开挖法施工地基处理两种情况。</w:t>
      </w:r>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（1）明挖施工的地基处理介绍</w:t>
      </w:r>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根据不同的施工方法、不同的地质情况、不同的施工现场条件，采用不同地基处理方式。明挖施工的地基处理方法有：换填法、水泥土搅拌桩法等。</w:t>
      </w:r>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√换填法</w:t>
      </w:r>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适用于浅层软弱地基处理。换填法是将软弱土层挖去，而后分层压实回填粗砂碎石。换填法一般适用于当管底以下2m范围内有持力层的情况。如果换填厚度过大，一方面，换填材料造价增加，沉降量较难控制。另一方面，随着开挖深度的增大，支护费用也增加。另外，在地下水位较高的地区，开挖深度过大、止水措施不足时，容易因地下水流失造成周围地陷，引起民房或路面开裂，由此增加额外的费用。故此我们认为换填深度一般控制在2m以内为宜。</w:t>
      </w:r>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√水泥土搅拌桩法</w:t>
      </w:r>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将水泥固化剂和原地基软土就地搅拌混合，对管道的地基进行处理，水泥土搅拌桩法施工时遇到低洼之处应该回填土，并予以压实，不得回填杂填土或生活垃圾。水泥土搅拌</w:t>
      </w:r>
      <w:r>
        <w:rPr>
          <w:rFonts w:cs="宋体" w:asciiTheme="minorEastAsia" w:hAnsiTheme="minorEastAsia" w:eastAsiaTheme="minorEastAsia"/>
          <w:color w:val="auto"/>
          <w:kern w:val="0"/>
          <w:sz w:val="28"/>
          <w:szCs w:val="21"/>
          <w:highlight w:val="none"/>
          <w:lang w:val="sq-AL"/>
        </w:rPr>
        <w:t>桩桩</w:t>
      </w:r>
      <w:r>
        <w:rPr>
          <w:rFonts w:cs="宋体" w:asciiTheme="minorEastAsia" w:hAnsiTheme="minorEastAsia" w:eastAsiaTheme="minorEastAsia"/>
          <w:color w:val="auto"/>
          <w:kern w:val="0"/>
          <w:sz w:val="28"/>
          <w:szCs w:val="21"/>
          <w:lang w:val="sq-AL"/>
        </w:rPr>
        <w:t>架较大，需要的施工场地大。由于水泥土搅拌桩施工较慢，而且水泥土深层搅拌桩是复合地基，必须检验复合地基的承载力，其检验必须在桩身强度满足试验荷载条件时才能进行，所以需时较长。搅拌桩总桩长一般不超过18米。水泥土深层搅拌桩法适用于持力层在现地面以下18米范围内，且施工场地大，施工工期较充裕，管道下地基为正常固结的淤泥质土、粉土、饱和黄土、素填土、粘性土以及无流动地下水的饱和松散砂土等情况。</w:t>
      </w:r>
    </w:p>
    <w:p>
      <w:pPr>
        <w:pStyle w:val="73"/>
        <w:numPr>
          <w:ilvl w:val="0"/>
          <w:numId w:val="29"/>
        </w:numPr>
        <w:ind w:left="564" w:leftChars="200" w:firstLine="0"/>
        <w:rPr>
          <w:rFonts w:cs="宋体" w:asciiTheme="minorEastAsia" w:hAnsiTheme="minorEastAsia" w:eastAsiaTheme="minorEastAsia"/>
          <w:color w:val="auto"/>
          <w:sz w:val="28"/>
          <w:szCs w:val="21"/>
        </w:rPr>
      </w:pPr>
      <w:bookmarkStart w:id="83" w:name="_Toc513498999"/>
      <w:bookmarkStart w:id="84" w:name="_Toc513498597"/>
      <w:bookmarkStart w:id="85" w:name="_Toc21592632"/>
      <w:r>
        <w:rPr>
          <w:rFonts w:cs="宋体" w:asciiTheme="minorEastAsia" w:hAnsiTheme="minorEastAsia" w:eastAsiaTheme="minorEastAsia"/>
          <w:color w:val="auto"/>
          <w:sz w:val="28"/>
          <w:szCs w:val="21"/>
        </w:rPr>
        <w:t>地基处理方式选择</w:t>
      </w:r>
      <w:bookmarkEnd w:id="83"/>
      <w:bookmarkEnd w:id="84"/>
      <w:bookmarkEnd w:id="85"/>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根据场地地质情况和管道埋深，从技术可行、造价最省、进度最快来考虑，本工程确定采用以换填及抛石为主的地基处理方式，对于大管径管道，若场地允许，则采用水泥搅拌桩、预制方桩等处理方式，处理原则如下：</w:t>
      </w:r>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天然地基：管道底部土层为粘土、砂土或地基承载力特征值不小于</w:t>
      </w:r>
      <w:r>
        <w:rPr>
          <w:rFonts w:hint="eastAsia" w:cs="宋体" w:asciiTheme="minorEastAsia" w:hAnsiTheme="minorEastAsia" w:eastAsiaTheme="minorEastAsia"/>
          <w:color w:val="auto"/>
          <w:kern w:val="0"/>
          <w:sz w:val="28"/>
          <w:szCs w:val="21"/>
          <w:lang w:val="en-US" w:eastAsia="zh-CN"/>
        </w:rPr>
        <w:t>100</w:t>
      </w:r>
      <w:r>
        <w:rPr>
          <w:rFonts w:cs="宋体" w:asciiTheme="minorEastAsia" w:hAnsiTheme="minorEastAsia" w:eastAsiaTheme="minorEastAsia"/>
          <w:color w:val="auto"/>
          <w:kern w:val="0"/>
          <w:sz w:val="28"/>
          <w:szCs w:val="21"/>
          <w:lang w:val="sq-AL"/>
        </w:rPr>
        <w:t>kPa的情况，不需要进行地基处理，采用原状土天然地基。</w:t>
      </w:r>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软弱土换填：对于厚度小于2.0m的软弱土层（如淤泥、淤泥质粘性土、杂填土等），采用换填碎石砂（1:1）的处理方式。</w:t>
      </w:r>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对于大于2.0m的软弱土层，若管道管径较小（不大于600mm），可采用抛石挤淤方式进行软基处理，对于大管径管道，若具有现场条件的，采用预制方桩或水泥搅拌桩的处理方式。</w:t>
      </w:r>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对于大于2.0m的软弱层，不具备现场条件的，采用高压旋喷桩的处理方式。</w:t>
      </w:r>
    </w:p>
    <w:p>
      <w:pPr>
        <w:pStyle w:val="43"/>
        <w:rPr>
          <w:rFonts w:cs="宋体"/>
          <w:color w:val="auto"/>
          <w:sz w:val="28"/>
          <w:szCs w:val="18"/>
          <w:lang w:val="sq-AL"/>
        </w:rPr>
      </w:pPr>
      <w:r>
        <w:rPr>
          <w:rFonts w:cs="宋体"/>
          <w:color w:val="auto"/>
          <w:sz w:val="28"/>
          <w:szCs w:val="18"/>
        </w:rPr>
        <w:drawing>
          <wp:inline distT="0" distB="0" distL="0" distR="0">
            <wp:extent cx="2299970" cy="2157730"/>
            <wp:effectExtent l="0" t="0" r="5080" b="1397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80" cstate="print">
                      <a:extLst>
                        <a:ext uri="{28A0092B-C50C-407E-A947-70E740481C1C}">
                          <a14:useLocalDpi xmlns:a14="http://schemas.microsoft.com/office/drawing/2010/main" val="0"/>
                        </a:ext>
                      </a:extLst>
                    </a:blip>
                    <a:srcRect b="2619"/>
                    <a:stretch>
                      <a:fillRect/>
                    </a:stretch>
                  </pic:blipFill>
                  <pic:spPr>
                    <a:xfrm>
                      <a:off x="0" y="0"/>
                      <a:ext cx="2299970" cy="2157730"/>
                    </a:xfrm>
                    <a:prstGeom prst="rect">
                      <a:avLst/>
                    </a:prstGeom>
                    <a:noFill/>
                    <a:ln>
                      <a:noFill/>
                    </a:ln>
                  </pic:spPr>
                </pic:pic>
              </a:graphicData>
            </a:graphic>
          </wp:inline>
        </w:drawing>
      </w:r>
      <w:r>
        <w:rPr>
          <w:rFonts w:cs="宋体"/>
          <w:color w:val="auto"/>
          <w:sz w:val="28"/>
          <w:szCs w:val="18"/>
        </w:rPr>
        <w:drawing>
          <wp:inline distT="0" distB="0" distL="0" distR="0">
            <wp:extent cx="2780030" cy="2136140"/>
            <wp:effectExtent l="0" t="0" r="1270" b="1651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2780030" cy="2136140"/>
                    </a:xfrm>
                    <a:prstGeom prst="rect">
                      <a:avLst/>
                    </a:prstGeom>
                    <a:noFill/>
                    <a:ln>
                      <a:noFill/>
                    </a:ln>
                  </pic:spPr>
                </pic:pic>
              </a:graphicData>
            </a:graphic>
          </wp:inline>
        </w:drawing>
      </w:r>
    </w:p>
    <w:p>
      <w:pPr>
        <w:pStyle w:val="44"/>
        <w:numPr>
          <w:ilvl w:val="8"/>
          <w:numId w:val="28"/>
        </w:numPr>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管道软基处理（预制方桩）管道软基处理（换填）</w:t>
      </w:r>
    </w:p>
    <w:p>
      <w:pPr>
        <w:pStyle w:val="39"/>
        <w:numPr>
          <w:ilvl w:val="1"/>
          <w:numId w:val="9"/>
        </w:numPr>
        <w:rPr>
          <w:rFonts w:hint="eastAsia" w:cs="宋体" w:asciiTheme="minorEastAsia" w:hAnsiTheme="minorEastAsia" w:eastAsiaTheme="minorEastAsia"/>
          <w:color w:val="auto"/>
          <w:sz w:val="28"/>
          <w:szCs w:val="28"/>
          <w:lang w:val="en-US" w:eastAsia="zh-CN"/>
        </w:rPr>
      </w:pPr>
      <w:bookmarkStart w:id="86" w:name="_Toc513498598"/>
      <w:bookmarkStart w:id="87" w:name="_Toc21592633"/>
      <w:bookmarkStart w:id="88" w:name="_Toc513499000"/>
      <w:bookmarkStart w:id="89" w:name="_Toc3345"/>
      <w:r>
        <w:rPr>
          <w:rFonts w:hint="eastAsia" w:cs="宋体" w:asciiTheme="minorEastAsia" w:hAnsiTheme="minorEastAsia" w:eastAsiaTheme="minorEastAsia"/>
          <w:color w:val="auto"/>
          <w:sz w:val="28"/>
          <w:szCs w:val="28"/>
          <w:lang w:val="en-US" w:eastAsia="zh-CN"/>
        </w:rPr>
        <w:t>管坑支护</w:t>
      </w:r>
      <w:bookmarkEnd w:id="86"/>
      <w:bookmarkEnd w:id="87"/>
      <w:bookmarkEnd w:id="88"/>
      <w:bookmarkEnd w:id="89"/>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明挖管道支护根据埋深及地质条件采用不同的支护方式。</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开挖深度1.2m内不支护，1.2~2.</w:t>
      </w:r>
      <w:r>
        <w:rPr>
          <w:rFonts w:hint="eastAsia" w:cs="宋体" w:asciiTheme="minorEastAsia" w:hAnsiTheme="minorEastAsia" w:eastAsiaTheme="minorEastAsia"/>
          <w:color w:val="auto"/>
          <w:sz w:val="28"/>
          <w:szCs w:val="21"/>
          <w:lang w:val="en-US" w:eastAsia="zh-CN"/>
        </w:rPr>
        <w:t>5</w:t>
      </w:r>
      <w:r>
        <w:rPr>
          <w:rFonts w:cs="宋体" w:asciiTheme="minorEastAsia" w:hAnsiTheme="minorEastAsia" w:eastAsiaTheme="minorEastAsia"/>
          <w:color w:val="auto"/>
          <w:sz w:val="28"/>
          <w:szCs w:val="21"/>
        </w:rPr>
        <w:t>m内的按挡土板计算，超过</w:t>
      </w:r>
      <w:r>
        <w:rPr>
          <w:rFonts w:hint="eastAsia" w:cs="宋体" w:asciiTheme="minorEastAsia" w:hAnsiTheme="minorEastAsia" w:eastAsiaTheme="minorEastAsia"/>
          <w:color w:val="auto"/>
          <w:sz w:val="28"/>
          <w:szCs w:val="21"/>
          <w:lang w:val="en-US" w:eastAsia="zh-CN"/>
        </w:rPr>
        <w:t>2.5</w:t>
      </w:r>
      <w:r>
        <w:rPr>
          <w:rFonts w:cs="宋体" w:asciiTheme="minorEastAsia" w:hAnsiTheme="minorEastAsia" w:eastAsiaTheme="minorEastAsia"/>
          <w:color w:val="auto"/>
          <w:sz w:val="28"/>
          <w:szCs w:val="21"/>
        </w:rPr>
        <w:t>m的按支护大样图设计支护。支护桩可以打入土中或连到物件上，组成承载及防水结构，工作结束后拔出后重复使用。</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施工中需注意的问题及处理：</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打桩过程中有时遇上大的块石或其它不明障碍物，导致支护桩打入深度不够，采用转角桩或弧形</w:t>
      </w:r>
      <w:r>
        <w:rPr>
          <w:rFonts w:cs="宋体" w:asciiTheme="minorEastAsia" w:hAnsiTheme="minorEastAsia" w:eastAsiaTheme="minorEastAsia"/>
          <w:color w:val="auto"/>
          <w:sz w:val="28"/>
          <w:szCs w:val="21"/>
          <w:highlight w:val="none"/>
        </w:rPr>
        <w:t>桩绕过</w:t>
      </w:r>
      <w:r>
        <w:rPr>
          <w:rFonts w:cs="宋体" w:asciiTheme="minorEastAsia" w:hAnsiTheme="minorEastAsia" w:eastAsiaTheme="minorEastAsia"/>
          <w:color w:val="auto"/>
          <w:sz w:val="28"/>
          <w:szCs w:val="21"/>
        </w:rPr>
        <w:t>障碍物。</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支护桩沿轴线倾斜度较大时，采用异形桩来纠正，异形桩一般为上宽下窄、宽度大于或小于标准宽度的板桩，异形桩可根</w:t>
      </w:r>
      <w:r>
        <w:rPr>
          <w:rFonts w:hint="eastAsia" w:cs="宋体" w:asciiTheme="minorEastAsia" w:hAnsiTheme="minorEastAsia" w:eastAsiaTheme="minorEastAsia"/>
          <w:color w:val="auto"/>
          <w:sz w:val="28"/>
          <w:szCs w:val="21"/>
          <w:highlight w:val="none"/>
          <w:lang w:eastAsia="zh-CN"/>
        </w:rPr>
        <w:t>据</w:t>
      </w:r>
      <w:r>
        <w:rPr>
          <w:rFonts w:cs="宋体" w:asciiTheme="minorEastAsia" w:hAnsiTheme="minorEastAsia" w:eastAsiaTheme="minorEastAsia"/>
          <w:color w:val="auto"/>
          <w:sz w:val="28"/>
          <w:szCs w:val="21"/>
        </w:rPr>
        <w:t>实际倾斜度进行焊接加工；倾斜度较小时也可以用卷扬机或葫芦和钢索将桩反向拉住再锤击。</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钢板桩杂填土地段挤进过程中受到石块等侧向挤压作用力大小不同容易发生偏斜，采取以下措施进行纠偏：在发生偏斜位置将钢板桩往上拔1.0m～2.0m，再往下锤进，如此上下往复振拔数次，可使大的块石被振碎或使其发生位移，让钢板桩的位置得到纠正，减少钢板桩的倾斜度。</w:t>
      </w:r>
    </w:p>
    <w:p>
      <w:pPr>
        <w:ind w:firstLine="565"/>
        <w:rPr>
          <w:rFonts w:cs="宋体" w:asciiTheme="minorEastAsia" w:hAnsiTheme="minorEastAsia" w:eastAsiaTheme="minorEastAsia"/>
          <w:color w:val="auto"/>
          <w:sz w:val="28"/>
          <w:szCs w:val="24"/>
        </w:rPr>
      </w:pPr>
      <w:r>
        <w:rPr>
          <w:rFonts w:cs="宋体" w:asciiTheme="minorEastAsia" w:hAnsiTheme="minorEastAsia" w:eastAsiaTheme="minorEastAsia"/>
          <w:color w:val="auto"/>
          <w:sz w:val="28"/>
          <w:szCs w:val="21"/>
        </w:rPr>
        <w:t>4</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在基础较软处，有时发生施工时将邻桩带入现象，可把相邻的</w:t>
      </w:r>
      <w:r>
        <w:rPr>
          <w:rFonts w:cs="宋体" w:asciiTheme="minorEastAsia" w:hAnsiTheme="minorEastAsia" w:eastAsiaTheme="minorEastAsia"/>
          <w:color w:val="auto"/>
          <w:sz w:val="28"/>
          <w:szCs w:val="21"/>
          <w:highlight w:val="none"/>
        </w:rPr>
        <w:t>数根桩</w:t>
      </w:r>
      <w:r>
        <w:rPr>
          <w:rFonts w:cs="宋体" w:asciiTheme="minorEastAsia" w:hAnsiTheme="minorEastAsia" w:eastAsiaTheme="minorEastAsia"/>
          <w:color w:val="auto"/>
          <w:sz w:val="28"/>
          <w:szCs w:val="21"/>
        </w:rPr>
        <w:t>焊接在一</w:t>
      </w:r>
      <w:r>
        <w:rPr>
          <w:rFonts w:cs="宋体" w:asciiTheme="minorEastAsia" w:hAnsiTheme="minorEastAsia" w:eastAsiaTheme="minorEastAsia"/>
          <w:color w:val="auto"/>
          <w:sz w:val="28"/>
          <w:szCs w:val="24"/>
        </w:rPr>
        <w:t>起，并且在施打桩的连接锁口上涂以黄油等</w:t>
      </w:r>
      <w:r>
        <w:rPr>
          <w:rFonts w:hint="eastAsia" w:cs="宋体" w:asciiTheme="minorEastAsia" w:hAnsiTheme="minorEastAsia" w:eastAsiaTheme="minorEastAsia"/>
          <w:color w:val="auto"/>
          <w:sz w:val="28"/>
          <w:szCs w:val="24"/>
          <w:highlight w:val="none"/>
          <w:lang w:eastAsia="zh-CN"/>
        </w:rPr>
        <w:t>润滑剂</w:t>
      </w:r>
      <w:r>
        <w:rPr>
          <w:rFonts w:cs="宋体" w:asciiTheme="minorEastAsia" w:hAnsiTheme="minorEastAsia" w:eastAsiaTheme="minorEastAsia"/>
          <w:color w:val="auto"/>
          <w:sz w:val="28"/>
          <w:szCs w:val="24"/>
        </w:rPr>
        <w:t>减少阻力。</w:t>
      </w:r>
    </w:p>
    <w:p>
      <w:pPr>
        <w:ind w:firstLine="565"/>
        <w:jc w:val="center"/>
        <w:rPr>
          <w:rFonts w:cs="宋体" w:asciiTheme="minorEastAsia" w:hAnsiTheme="minorEastAsia" w:eastAsiaTheme="minorEastAsia"/>
          <w:color w:val="auto"/>
          <w:sz w:val="28"/>
          <w:szCs w:val="24"/>
        </w:rPr>
      </w:pPr>
      <w:r>
        <w:rPr>
          <w:rFonts w:cs="宋体" w:asciiTheme="minorEastAsia" w:hAnsiTheme="minorEastAsia" w:eastAsiaTheme="minorEastAsia"/>
          <w:color w:val="auto"/>
          <w:sz w:val="28"/>
          <w:szCs w:val="21"/>
        </w:rPr>
        <w:drawing>
          <wp:inline distT="0" distB="0" distL="0" distR="0">
            <wp:extent cx="3065780" cy="2890520"/>
            <wp:effectExtent l="0" t="0" r="1270" b="508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pic:cNvPicPr>
                      <a:picLocks noChangeAspect="1"/>
                    </pic:cNvPicPr>
                  </pic:nvPicPr>
                  <pic:blipFill>
                    <a:blip r:embed="rId82"/>
                    <a:stretch>
                      <a:fillRect/>
                    </a:stretch>
                  </pic:blipFill>
                  <pic:spPr>
                    <a:xfrm>
                      <a:off x="0" y="0"/>
                      <a:ext cx="3065780" cy="2890520"/>
                    </a:xfrm>
                    <a:prstGeom prst="rect">
                      <a:avLst/>
                    </a:prstGeom>
                  </pic:spPr>
                </pic:pic>
              </a:graphicData>
            </a:graphic>
          </wp:inline>
        </w:drawing>
      </w:r>
    </w:p>
    <w:p>
      <w:pPr>
        <w:pStyle w:val="44"/>
        <w:numPr>
          <w:ilvl w:val="8"/>
          <w:numId w:val="28"/>
        </w:numPr>
        <w:rPr>
          <w:rFonts w:cs="宋体" w:asciiTheme="minorEastAsia" w:hAnsiTheme="minorEastAsia" w:eastAsiaTheme="minorEastAsia"/>
          <w:color w:val="auto"/>
          <w:sz w:val="28"/>
          <w:szCs w:val="21"/>
          <w:lang w:val="sq-AL"/>
        </w:rPr>
      </w:pPr>
      <w:r>
        <w:rPr>
          <w:rFonts w:cs="宋体" w:asciiTheme="minorEastAsia" w:hAnsiTheme="minorEastAsia" w:eastAsiaTheme="minorEastAsia"/>
          <w:color w:val="auto"/>
          <w:sz w:val="28"/>
          <w:szCs w:val="21"/>
        </w:rPr>
        <w:t>管道沟槽挡土板支护开挖示意图</w:t>
      </w:r>
    </w:p>
    <w:p>
      <w:pPr>
        <w:tabs>
          <w:tab w:val="left" w:pos="5800"/>
        </w:tabs>
        <w:autoSpaceDE w:val="0"/>
        <w:autoSpaceDN w:val="0"/>
        <w:spacing w:before="42"/>
        <w:ind w:right="-20" w:firstLine="0" w:firstLineChars="0"/>
        <w:jc w:val="center"/>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sz w:val="28"/>
          <w:szCs w:val="21"/>
        </w:rPr>
        <w:drawing>
          <wp:inline distT="0" distB="0" distL="0" distR="0">
            <wp:extent cx="4944110" cy="3205480"/>
            <wp:effectExtent l="0" t="0" r="8890" b="1397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pic:cNvPicPr>
                      <a:picLocks noChangeAspect="1"/>
                    </pic:cNvPicPr>
                  </pic:nvPicPr>
                  <pic:blipFill>
                    <a:blip r:embed="rId83"/>
                    <a:stretch>
                      <a:fillRect/>
                    </a:stretch>
                  </pic:blipFill>
                  <pic:spPr>
                    <a:xfrm>
                      <a:off x="0" y="0"/>
                      <a:ext cx="4944110" cy="3205480"/>
                    </a:xfrm>
                    <a:prstGeom prst="rect">
                      <a:avLst/>
                    </a:prstGeom>
                  </pic:spPr>
                </pic:pic>
              </a:graphicData>
            </a:graphic>
          </wp:inline>
        </w:drawing>
      </w:r>
    </w:p>
    <w:p>
      <w:pPr>
        <w:pStyle w:val="44"/>
        <w:numPr>
          <w:ilvl w:val="8"/>
          <w:numId w:val="28"/>
        </w:numPr>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管道钢板桩支护开挖示意图</w:t>
      </w:r>
    </w:p>
    <w:p>
      <w:pPr>
        <w:tabs>
          <w:tab w:val="left" w:pos="5800"/>
        </w:tabs>
        <w:autoSpaceDE w:val="0"/>
        <w:autoSpaceDN w:val="0"/>
        <w:spacing w:before="42"/>
        <w:ind w:right="-20" w:firstLine="0" w:firstLineChars="0"/>
        <w:jc w:val="center"/>
        <w:rPr>
          <w:rFonts w:cs="宋体" w:asciiTheme="minorEastAsia" w:hAnsiTheme="minorEastAsia" w:eastAsiaTheme="minorEastAsia"/>
          <w:bCs/>
          <w:color w:val="auto"/>
          <w:kern w:val="0"/>
          <w:sz w:val="28"/>
          <w:szCs w:val="21"/>
        </w:rPr>
      </w:pPr>
      <w:r>
        <w:rPr>
          <w:rFonts w:cs="宋体" w:asciiTheme="minorEastAsia" w:hAnsiTheme="minorEastAsia" w:eastAsiaTheme="minorEastAsia"/>
          <w:color w:val="auto"/>
          <w:sz w:val="28"/>
          <w:szCs w:val="21"/>
        </w:rPr>
        <w:drawing>
          <wp:inline distT="0" distB="0" distL="0" distR="0">
            <wp:extent cx="4415155" cy="3197860"/>
            <wp:effectExtent l="0" t="0" r="4445" b="254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pic:cNvPicPr>
                      <a:picLocks noChangeAspect="1"/>
                    </pic:cNvPicPr>
                  </pic:nvPicPr>
                  <pic:blipFill>
                    <a:blip r:embed="rId84"/>
                    <a:srcRect b="1470"/>
                    <a:stretch>
                      <a:fillRect/>
                    </a:stretch>
                  </pic:blipFill>
                  <pic:spPr>
                    <a:xfrm>
                      <a:off x="0" y="0"/>
                      <a:ext cx="4415155" cy="3197860"/>
                    </a:xfrm>
                    <a:prstGeom prst="rect">
                      <a:avLst/>
                    </a:prstGeom>
                    <a:ln>
                      <a:noFill/>
                    </a:ln>
                  </pic:spPr>
                </pic:pic>
              </a:graphicData>
            </a:graphic>
          </wp:inline>
        </w:drawing>
      </w:r>
    </w:p>
    <w:p>
      <w:pPr>
        <w:pStyle w:val="44"/>
        <w:numPr>
          <w:ilvl w:val="8"/>
          <w:numId w:val="28"/>
        </w:numPr>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管道钢板桩支护开挖示意图</w:t>
      </w:r>
    </w:p>
    <w:p>
      <w:pPr>
        <w:pStyle w:val="39"/>
        <w:numPr>
          <w:ilvl w:val="1"/>
          <w:numId w:val="9"/>
        </w:numPr>
        <w:rPr>
          <w:rFonts w:hint="eastAsia" w:cs="宋体" w:asciiTheme="minorEastAsia" w:hAnsiTheme="minorEastAsia" w:eastAsiaTheme="minorEastAsia"/>
          <w:color w:val="auto"/>
          <w:sz w:val="28"/>
          <w:szCs w:val="28"/>
          <w:lang w:val="en-US" w:eastAsia="zh-CN"/>
        </w:rPr>
      </w:pPr>
      <w:bookmarkStart w:id="90" w:name="_Toc513499001"/>
      <w:bookmarkStart w:id="91" w:name="_Toc21592634"/>
      <w:bookmarkStart w:id="92" w:name="_Toc513498599"/>
      <w:bookmarkStart w:id="93" w:name="_Toc11578"/>
      <w:r>
        <w:rPr>
          <w:rFonts w:hint="eastAsia" w:cs="宋体" w:asciiTheme="minorEastAsia" w:hAnsiTheme="minorEastAsia" w:eastAsiaTheme="minorEastAsia"/>
          <w:color w:val="auto"/>
          <w:sz w:val="28"/>
          <w:szCs w:val="28"/>
          <w:lang w:val="en-US" w:eastAsia="zh-CN"/>
        </w:rPr>
        <w:t>房屋保护</w:t>
      </w:r>
      <w:bookmarkEnd w:id="90"/>
      <w:bookmarkEnd w:id="91"/>
      <w:bookmarkEnd w:id="92"/>
      <w:bookmarkEnd w:id="93"/>
    </w:p>
    <w:p>
      <w:pPr>
        <w:spacing w:before="120"/>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8"/>
        </w:rPr>
        <w:t>房屋保护根据房屋鉴定结果确定是否需要。房屋鉴定原则如下：</w:t>
      </w:r>
    </w:p>
    <w:p>
      <w:pPr>
        <w:spacing w:before="120"/>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（一）采用明挖法施工时</w:t>
      </w:r>
    </w:p>
    <w:p>
      <w:pPr>
        <w:spacing w:before="120"/>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1、房屋边线至基坑边缘水平距离小于1.5倍的基坑开挖深度时，应对沿线房屋进行房屋鉴定。</w:t>
      </w:r>
    </w:p>
    <w:p>
      <w:pPr>
        <w:spacing w:before="120"/>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2、对管径不大于300mm，且埋深不大于1.5m的支线沟槽，沿线房屋可不进行房屋鉴定。</w:t>
      </w:r>
    </w:p>
    <w:p>
      <w:pPr>
        <w:spacing w:before="120"/>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（二）采用顶管施工时</w:t>
      </w:r>
    </w:p>
    <w:p>
      <w:pPr>
        <w:spacing w:before="120"/>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应对房屋边线至管外边缘水平距离小于2倍管外径的沿线房屋进行房屋鉴定。</w:t>
      </w:r>
    </w:p>
    <w:p>
      <w:pPr>
        <w:spacing w:before="120"/>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（三）除以上要求外，应对符合以下要求的房屋进行房屋鉴定。</w:t>
      </w:r>
    </w:p>
    <w:p>
      <w:pPr>
        <w:spacing w:before="120"/>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1、结构或墙体已经出现开裂的房屋；</w:t>
      </w:r>
    </w:p>
    <w:p>
      <w:pPr>
        <w:spacing w:before="120"/>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2、建造年代较远的房屋；</w:t>
      </w:r>
    </w:p>
    <w:p>
      <w:pPr>
        <w:spacing w:before="120"/>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3、处于地质条件较差地段的房屋；</w:t>
      </w:r>
    </w:p>
    <w:p>
      <w:pPr>
        <w:spacing w:before="120"/>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4、建造中的房屋。</w:t>
      </w:r>
    </w:p>
    <w:p>
      <w:pPr>
        <w:spacing w:before="120"/>
        <w:ind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本选取原则仅作为参考，是否进行房屋鉴定应结合现场实际情况及其他因素综合考虑；进行房屋鉴定时应做好记录，为后续开展房屋保护工作提供有效依据；如遇特殊情况，请及时与设计人员联系。具体房屋鉴定方案最终以镇街、村委、施工单位和监理单位共同确定为准。</w:t>
      </w:r>
    </w:p>
    <w:p>
      <w:pPr>
        <w:spacing w:before="120"/>
        <w:ind w:firstLine="565"/>
        <w:rPr>
          <w:rFonts w:hint="eastAsia" w:eastAsia="宋体" w:cs="宋体" w:asciiTheme="minorEastAsia" w:hAnsiTheme="minorEastAsia"/>
          <w:color w:val="auto"/>
          <w:kern w:val="0"/>
          <w:sz w:val="28"/>
          <w:szCs w:val="21"/>
          <w:lang w:val="sq-AL" w:eastAsia="zh-CN"/>
        </w:rPr>
      </w:pPr>
      <w:r>
        <w:rPr>
          <w:rFonts w:hint="eastAsia" w:ascii="宋体" w:hAnsi="宋体" w:eastAsia="宋体" w:cs="宋体"/>
          <w:color w:val="auto"/>
          <w:kern w:val="0"/>
          <w:sz w:val="28"/>
          <w:szCs w:val="21"/>
          <w:lang w:val="sq-AL" w:eastAsia="zh-CN"/>
        </w:rPr>
        <w:t>根据该原则，本项目沿线暂未涉及需进行房屋鉴定的建筑物。</w:t>
      </w:r>
    </w:p>
    <w:p>
      <w:pPr>
        <w:pStyle w:val="39"/>
        <w:numPr>
          <w:ilvl w:val="1"/>
          <w:numId w:val="9"/>
        </w:numPr>
        <w:rPr>
          <w:rFonts w:hint="eastAsia" w:cs="宋体" w:asciiTheme="minorEastAsia" w:hAnsiTheme="minorEastAsia" w:eastAsiaTheme="minorEastAsia"/>
          <w:color w:val="auto"/>
          <w:sz w:val="28"/>
          <w:szCs w:val="28"/>
          <w:lang w:val="en-US" w:eastAsia="zh-CN"/>
        </w:rPr>
      </w:pPr>
      <w:bookmarkStart w:id="94" w:name="_Toc21592635"/>
      <w:bookmarkStart w:id="95" w:name="_Toc513498600"/>
      <w:bookmarkStart w:id="96" w:name="_Toc513499002"/>
      <w:bookmarkStart w:id="97" w:name="_Toc3505"/>
      <w:r>
        <w:rPr>
          <w:rFonts w:hint="eastAsia" w:cs="宋体" w:asciiTheme="minorEastAsia" w:hAnsiTheme="minorEastAsia" w:eastAsiaTheme="minorEastAsia"/>
          <w:color w:val="auto"/>
          <w:sz w:val="28"/>
          <w:szCs w:val="28"/>
          <w:lang w:val="en-US" w:eastAsia="zh-CN"/>
        </w:rPr>
        <w:t>设计使用年限</w:t>
      </w:r>
      <w:bookmarkEnd w:id="94"/>
      <w:bookmarkEnd w:id="95"/>
      <w:bookmarkEnd w:id="96"/>
      <w:bookmarkEnd w:id="97"/>
    </w:p>
    <w:p>
      <w:pPr>
        <w:autoSpaceDE w:val="0"/>
        <w:autoSpaceDN w:val="0"/>
        <w:ind w:right="228" w:firstLine="565"/>
        <w:rPr>
          <w:rFonts w:cs="宋体" w:asciiTheme="minorEastAsia" w:hAnsiTheme="minorEastAsia" w:eastAsiaTheme="minorEastAsia"/>
          <w:color w:val="auto"/>
          <w:kern w:val="0"/>
          <w:sz w:val="28"/>
          <w:szCs w:val="21"/>
          <w:lang w:val="sq-AL"/>
        </w:rPr>
      </w:pPr>
      <w:r>
        <w:rPr>
          <w:rFonts w:cs="宋体" w:asciiTheme="minorEastAsia" w:hAnsiTheme="minorEastAsia" w:eastAsiaTheme="minorEastAsia"/>
          <w:color w:val="auto"/>
          <w:kern w:val="0"/>
          <w:sz w:val="28"/>
          <w:szCs w:val="21"/>
          <w:lang w:val="sq-AL"/>
        </w:rPr>
        <w:t>根据《工程结构可靠性设计统一标准》GB50153的规定，本工程地下管道结构的设计使用年限限定为不低于50年。</w:t>
      </w:r>
    </w:p>
    <w:p>
      <w:pPr>
        <w:pStyle w:val="39"/>
        <w:numPr>
          <w:ilvl w:val="1"/>
          <w:numId w:val="9"/>
        </w:numPr>
        <w:rPr>
          <w:rFonts w:hint="eastAsia" w:cs="宋体" w:asciiTheme="minorEastAsia" w:hAnsiTheme="minorEastAsia" w:eastAsiaTheme="minorEastAsia"/>
          <w:color w:val="auto"/>
          <w:sz w:val="28"/>
          <w:szCs w:val="28"/>
          <w:lang w:val="en-US" w:eastAsia="zh-CN"/>
        </w:rPr>
      </w:pPr>
      <w:bookmarkStart w:id="98" w:name="_Toc17699"/>
      <w:r>
        <w:rPr>
          <w:rFonts w:hint="eastAsia" w:cs="宋体" w:asciiTheme="minorEastAsia" w:hAnsiTheme="minorEastAsia" w:eastAsiaTheme="minorEastAsia"/>
          <w:color w:val="auto"/>
          <w:sz w:val="28"/>
          <w:szCs w:val="28"/>
          <w:lang w:val="en-US" w:eastAsia="zh-CN"/>
        </w:rPr>
        <w:t>排水构筑物</w:t>
      </w:r>
      <w:bookmarkEnd w:id="98"/>
    </w:p>
    <w:p>
      <w:pPr>
        <w:pStyle w:val="15"/>
        <w:ind w:firstLine="565"/>
        <w:rPr>
          <w:rFonts w:cs="宋体" w:asciiTheme="minorEastAsia" w:hAnsiTheme="minorEastAsia" w:eastAsiaTheme="minorEastAsia"/>
          <w:color w:val="auto"/>
          <w:sz w:val="28"/>
          <w:szCs w:val="22"/>
        </w:rPr>
      </w:pPr>
      <w:r>
        <w:rPr>
          <w:rFonts w:cs="宋体" w:asciiTheme="minorEastAsia" w:hAnsiTheme="minorEastAsia" w:eastAsiaTheme="minorEastAsia"/>
          <w:color w:val="auto"/>
          <w:sz w:val="28"/>
          <w:szCs w:val="22"/>
        </w:rPr>
        <w:t>1、检查井</w:t>
      </w:r>
    </w:p>
    <w:p>
      <w:pPr>
        <w:pStyle w:val="15"/>
        <w:ind w:firstLine="565"/>
        <w:rPr>
          <w:rFonts w:cs="宋体" w:asciiTheme="minorEastAsia" w:hAnsiTheme="minorEastAsia" w:eastAsiaTheme="minorEastAsia"/>
          <w:color w:val="auto"/>
          <w:sz w:val="28"/>
          <w:szCs w:val="22"/>
        </w:rPr>
      </w:pPr>
      <w:r>
        <w:rPr>
          <w:rFonts w:cs="宋体" w:asciiTheme="minorEastAsia" w:hAnsiTheme="minorEastAsia" w:eastAsiaTheme="minorEastAsia"/>
          <w:color w:val="auto"/>
          <w:sz w:val="28"/>
          <w:szCs w:val="22"/>
        </w:rPr>
        <w:t>1</w:t>
      </w:r>
      <w:r>
        <w:rPr>
          <w:rFonts w:cs="宋体" w:asciiTheme="minorEastAsia" w:hAnsiTheme="minorEastAsia" w:eastAsiaTheme="minorEastAsia"/>
          <w:color w:val="auto"/>
          <w:sz w:val="28"/>
          <w:szCs w:val="22"/>
          <w:highlight w:val="none"/>
        </w:rPr>
        <w:t>）</w:t>
      </w:r>
      <w:r>
        <w:rPr>
          <w:rFonts w:cs="宋体" w:asciiTheme="minorEastAsia" w:hAnsiTheme="minorEastAsia" w:eastAsiaTheme="minorEastAsia"/>
          <w:color w:val="auto"/>
          <w:sz w:val="28"/>
          <w:szCs w:val="22"/>
        </w:rPr>
        <w:t>管道交汇处、转弯处、管径或坡度改变处、跌水处以及直线管段上每隔一定距离设置检查井。</w:t>
      </w:r>
    </w:p>
    <w:p>
      <w:pPr>
        <w:pStyle w:val="15"/>
        <w:ind w:firstLine="565"/>
        <w:rPr>
          <w:rFonts w:cs="宋体" w:asciiTheme="minorEastAsia" w:hAnsiTheme="minorEastAsia" w:eastAsiaTheme="minorEastAsia"/>
          <w:color w:val="auto"/>
          <w:sz w:val="28"/>
          <w:szCs w:val="22"/>
        </w:rPr>
      </w:pPr>
      <w:r>
        <w:rPr>
          <w:rFonts w:cs="宋体" w:asciiTheme="minorEastAsia" w:hAnsiTheme="minorEastAsia" w:eastAsiaTheme="minorEastAsia"/>
          <w:color w:val="auto"/>
          <w:sz w:val="28"/>
          <w:szCs w:val="22"/>
        </w:rPr>
        <w:t>2</w:t>
      </w:r>
      <w:r>
        <w:rPr>
          <w:rFonts w:cs="宋体" w:asciiTheme="minorEastAsia" w:hAnsiTheme="minorEastAsia" w:eastAsiaTheme="minorEastAsia"/>
          <w:color w:val="auto"/>
          <w:sz w:val="28"/>
          <w:szCs w:val="22"/>
          <w:highlight w:val="none"/>
        </w:rPr>
        <w:t>）</w:t>
      </w:r>
      <w:r>
        <w:rPr>
          <w:rFonts w:cs="宋体" w:asciiTheme="minorEastAsia" w:hAnsiTheme="minorEastAsia" w:eastAsiaTheme="minorEastAsia"/>
          <w:color w:val="auto"/>
          <w:sz w:val="28"/>
          <w:szCs w:val="22"/>
        </w:rPr>
        <w:t>本工程检查井采用预制装配式钢筋混凝土检查井，详见《广州市水务局关于推广使用预制装配式排水检查井及限制使用砖砌筑排水检查井的通知》穗水排水〔2018〕16号文发布的《</w:t>
      </w:r>
      <w:r>
        <w:rPr>
          <w:rFonts w:hint="eastAsia" w:cs="宋体" w:asciiTheme="minorEastAsia" w:hAnsiTheme="minorEastAsia" w:eastAsiaTheme="minorEastAsia"/>
          <w:color w:val="auto"/>
          <w:sz w:val="28"/>
          <w:szCs w:val="22"/>
          <w:lang w:eastAsia="zh-CN"/>
        </w:rPr>
        <w:t>广州市</w:t>
      </w:r>
      <w:r>
        <w:rPr>
          <w:rFonts w:cs="宋体" w:asciiTheme="minorEastAsia" w:hAnsiTheme="minorEastAsia" w:eastAsiaTheme="minorEastAsia"/>
          <w:color w:val="auto"/>
          <w:sz w:val="28"/>
          <w:szCs w:val="22"/>
        </w:rPr>
        <w:t>预制装配式钢筋混凝土排水检查井标准图集（试行）》及《广州市预制装配式</w:t>
      </w:r>
      <w:r>
        <w:rPr>
          <w:rFonts w:hint="eastAsia" w:cs="宋体" w:asciiTheme="minorEastAsia" w:hAnsiTheme="minorEastAsia" w:eastAsiaTheme="minorEastAsia"/>
          <w:color w:val="auto"/>
          <w:sz w:val="28"/>
          <w:szCs w:val="22"/>
          <w:lang w:eastAsia="zh-CN"/>
        </w:rPr>
        <w:t>钢筋</w:t>
      </w:r>
      <w:r>
        <w:rPr>
          <w:rFonts w:cs="宋体" w:asciiTheme="minorEastAsia" w:hAnsiTheme="minorEastAsia" w:eastAsiaTheme="minorEastAsia"/>
          <w:color w:val="auto"/>
          <w:sz w:val="28"/>
          <w:szCs w:val="22"/>
        </w:rPr>
        <w:t>混凝土排水检查井技术指引（试行）》</w:t>
      </w:r>
    </w:p>
    <w:p>
      <w:pPr>
        <w:autoSpaceDE w:val="0"/>
        <w:autoSpaceDN w:val="0"/>
        <w:ind w:right="228" w:firstLine="565"/>
        <w:rPr>
          <w:rFonts w:cs="宋体"/>
          <w:color w:val="auto"/>
          <w:sz w:val="28"/>
          <w:szCs w:val="21"/>
          <w:lang w:val="sq-AL"/>
        </w:rPr>
      </w:pPr>
      <w:r>
        <w:rPr>
          <w:rFonts w:cs="宋体" w:asciiTheme="minorEastAsia" w:hAnsiTheme="minorEastAsia" w:eastAsiaTheme="minorEastAsia"/>
          <w:color w:val="auto"/>
          <w:sz w:val="28"/>
          <w:szCs w:val="21"/>
        </w:rPr>
        <w:t>3</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kern w:val="0"/>
          <w:sz w:val="28"/>
          <w:szCs w:val="21"/>
          <w:lang w:val="sq-AL"/>
        </w:rPr>
        <w:t>检查井均设置防坠网。采用球墨铸铁防盗检查井井盖。根据承载力的要求，车行道下的井盖选用不应低于D400，非车行道下的井盖选用不应低于B125，井盖承载能力应符合《检查井盖》标准的规定。</w:t>
      </w:r>
    </w:p>
    <w:p>
      <w:pPr>
        <w:rPr>
          <w:rFonts w:hint="default" w:cs="宋体"/>
          <w:color w:val="auto"/>
          <w:sz w:val="28"/>
          <w:szCs w:val="18"/>
          <w:lang w:val="en-US" w:eastAsia="zh-CN"/>
        </w:rPr>
      </w:pPr>
      <w:r>
        <w:rPr>
          <w:rFonts w:hint="eastAsia" w:cs="宋体" w:asciiTheme="minorEastAsia" w:hAnsiTheme="minorEastAsia" w:eastAsiaTheme="minorEastAsia"/>
          <w:color w:val="auto"/>
          <w:sz w:val="28"/>
          <w:szCs w:val="21"/>
          <w:highlight w:val="none"/>
          <w:lang w:val="en-US" w:eastAsia="zh-CN"/>
        </w:rPr>
        <w:t>4</w:t>
      </w:r>
      <w:r>
        <w:rPr>
          <w:rFonts w:cs="宋体" w:asciiTheme="minorEastAsia" w:hAnsiTheme="minorEastAsia" w:eastAsiaTheme="minorEastAsia"/>
          <w:color w:val="auto"/>
          <w:sz w:val="28"/>
          <w:szCs w:val="21"/>
          <w:highlight w:val="none"/>
        </w:rPr>
        <w:t>）</w:t>
      </w:r>
      <w:r>
        <w:rPr>
          <w:rFonts w:hint="eastAsia" w:cs="宋体" w:asciiTheme="minorEastAsia" w:hAnsiTheme="minorEastAsia" w:eastAsiaTheme="minorEastAsia"/>
          <w:color w:val="auto"/>
          <w:sz w:val="28"/>
          <w:szCs w:val="21"/>
          <w:highlight w:val="none"/>
          <w:lang w:eastAsia="zh-CN"/>
        </w:rPr>
        <w:t>部分巷子内空间较为狭窄处采用《市政排水用塑料检查井》CJT 326-2010中的</w:t>
      </w:r>
      <w:r>
        <w:rPr>
          <w:rFonts w:hint="eastAsia" w:cs="宋体" w:asciiTheme="minorEastAsia" w:hAnsiTheme="minorEastAsia" w:eastAsiaTheme="minorEastAsia"/>
          <w:color w:val="auto"/>
          <w:sz w:val="28"/>
          <w:szCs w:val="21"/>
          <w:highlight w:val="none"/>
          <w:lang w:val="en-US" w:eastAsia="zh-CN"/>
        </w:rPr>
        <w:t>D600检查井，检查井环刚度≥8KN/m</w:t>
      </w:r>
      <w:r>
        <w:rPr>
          <w:rFonts w:hint="eastAsia" w:cs="宋体" w:asciiTheme="minorEastAsia" w:hAnsiTheme="minorEastAsia" w:eastAsiaTheme="minorEastAsia"/>
          <w:color w:val="auto"/>
          <w:sz w:val="28"/>
          <w:szCs w:val="21"/>
          <w:highlight w:val="none"/>
          <w:vertAlign w:val="superscript"/>
          <w:lang w:val="en-US" w:eastAsia="zh-CN"/>
        </w:rPr>
        <w:t>2</w:t>
      </w:r>
      <w:r>
        <w:rPr>
          <w:rFonts w:hint="eastAsia" w:cs="宋体" w:asciiTheme="minorEastAsia" w:hAnsiTheme="minorEastAsia" w:eastAsiaTheme="minorEastAsia"/>
          <w:color w:val="auto"/>
          <w:sz w:val="28"/>
          <w:szCs w:val="21"/>
          <w:highlight w:val="none"/>
          <w:lang w:val="en-US" w:eastAsia="zh-CN"/>
        </w:rPr>
        <w:t>。</w:t>
      </w:r>
    </w:p>
    <w:p>
      <w:pPr>
        <w:rPr>
          <w:rFonts w:hint="eastAsia"/>
          <w:color w:val="auto"/>
          <w:lang w:val="en-US" w:eastAsia="zh-CN"/>
        </w:rPr>
      </w:pPr>
    </w:p>
    <w:p>
      <w:pPr>
        <w:pStyle w:val="38"/>
        <w:numPr>
          <w:ilvl w:val="0"/>
          <w:numId w:val="9"/>
        </w:numPr>
        <w:rPr>
          <w:rFonts w:cs="宋体"/>
          <w:color w:val="auto"/>
          <w:sz w:val="32"/>
          <w:szCs w:val="40"/>
        </w:rPr>
      </w:pPr>
      <w:r>
        <w:rPr>
          <w:rFonts w:hint="eastAsia" w:cs="宋体"/>
          <w:color w:val="auto"/>
          <w:sz w:val="32"/>
          <w:szCs w:val="40"/>
        </w:rPr>
        <w:t xml:space="preserve"> </w:t>
      </w:r>
      <w:bookmarkStart w:id="99" w:name="_Toc314"/>
      <w:r>
        <w:rPr>
          <w:rFonts w:hint="eastAsia" w:cs="宋体"/>
          <w:color w:val="auto"/>
          <w:sz w:val="32"/>
          <w:szCs w:val="40"/>
          <w:lang w:eastAsia="zh-CN"/>
        </w:rPr>
        <w:t>主要工程量</w:t>
      </w:r>
      <w:bookmarkEnd w:id="99"/>
    </w:p>
    <w:p>
      <w:pPr>
        <w:pStyle w:val="41"/>
        <w:numPr>
          <w:ilvl w:val="7"/>
          <w:numId w:val="18"/>
        </w:numPr>
        <w:rPr>
          <w:rFonts w:cs="Times New Roman" w:asciiTheme="minorEastAsia" w:hAnsiTheme="minorEastAsia" w:eastAsiaTheme="minorEastAsia"/>
          <w:color w:val="auto"/>
          <w:sz w:val="24"/>
          <w:szCs w:val="21"/>
        </w:rPr>
      </w:pPr>
      <w:r>
        <w:rPr>
          <w:rFonts w:hint="eastAsia" w:ascii="宋体" w:hAnsi="宋体" w:cs="宋体"/>
          <w:color w:val="auto"/>
          <w:kern w:val="0"/>
          <w:sz w:val="28"/>
          <w:szCs w:val="20"/>
          <w:lang w:eastAsia="zh-CN"/>
        </w:rPr>
        <w:t>从化区江埔街Y523片区雨污分流工程</w:t>
      </w:r>
      <w:r>
        <w:rPr>
          <w:rFonts w:hint="eastAsia" w:ascii="宋体" w:hAnsi="宋体" w:cs="宋体"/>
          <w:color w:val="auto"/>
          <w:kern w:val="0"/>
          <w:sz w:val="28"/>
          <w:szCs w:val="20"/>
          <w:lang w:val="en-US" w:eastAsia="zh-CN"/>
        </w:rPr>
        <w:t xml:space="preserve"> </w:t>
      </w:r>
      <w:r>
        <w:rPr>
          <w:rFonts w:cs="宋体" w:asciiTheme="minorEastAsia" w:hAnsiTheme="minorEastAsia" w:eastAsiaTheme="minorEastAsia"/>
          <w:color w:val="auto"/>
          <w:sz w:val="28"/>
          <w:szCs w:val="21"/>
        </w:rPr>
        <w:t>工程量汇总表</w:t>
      </w:r>
    </w:p>
    <w:tbl>
      <w:tblPr>
        <w:tblStyle w:val="31"/>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34"/>
        <w:gridCol w:w="3650"/>
        <w:gridCol w:w="1067"/>
        <w:gridCol w:w="27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b/>
                <w:bCs/>
                <w:i w:val="0"/>
                <w:iCs w:val="0"/>
                <w:color w:val="auto"/>
                <w:sz w:val="20"/>
                <w:szCs w:val="20"/>
                <w:u w:val="none"/>
              </w:rPr>
            </w:pPr>
            <w:r>
              <w:rPr>
                <w:rFonts w:hint="eastAsia" w:ascii="宋体" w:hAnsi="宋体" w:eastAsia="宋体" w:cs="宋体"/>
                <w:b/>
                <w:bCs/>
                <w:i w:val="0"/>
                <w:iCs w:val="0"/>
                <w:color w:val="auto"/>
                <w:kern w:val="0"/>
                <w:sz w:val="20"/>
                <w:szCs w:val="20"/>
                <w:u w:val="none"/>
                <w:lang w:val="en-US" w:eastAsia="zh-CN" w:bidi="ar"/>
              </w:rPr>
              <w:t>序号</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b/>
                <w:bCs/>
                <w:i w:val="0"/>
                <w:iCs w:val="0"/>
                <w:color w:val="auto"/>
                <w:sz w:val="20"/>
                <w:szCs w:val="20"/>
                <w:u w:val="none"/>
              </w:rPr>
            </w:pPr>
            <w:r>
              <w:rPr>
                <w:rFonts w:hint="eastAsia" w:ascii="宋体" w:hAnsi="宋体" w:eastAsia="宋体" w:cs="宋体"/>
                <w:b/>
                <w:bCs/>
                <w:i w:val="0"/>
                <w:iCs w:val="0"/>
                <w:color w:val="auto"/>
                <w:kern w:val="0"/>
                <w:sz w:val="20"/>
                <w:szCs w:val="20"/>
                <w:u w:val="none"/>
                <w:lang w:val="en-US" w:eastAsia="zh-CN" w:bidi="ar"/>
              </w:rPr>
              <w:t>名称</w:t>
            </w:r>
          </w:p>
        </w:tc>
        <w:tc>
          <w:tcPr>
            <w:tcW w:w="1067" w:type="dxa"/>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sz w:val="20"/>
                <w:szCs w:val="20"/>
                <w:u w:val="none"/>
              </w:rPr>
            </w:pPr>
            <w:r>
              <w:rPr>
                <w:rFonts w:hint="eastAsia" w:ascii="宋体" w:hAnsi="宋体" w:eastAsia="宋体" w:cs="宋体"/>
                <w:b/>
                <w:bCs/>
                <w:i w:val="0"/>
                <w:iCs w:val="0"/>
                <w:color w:val="auto"/>
                <w:kern w:val="0"/>
                <w:sz w:val="20"/>
                <w:szCs w:val="20"/>
                <w:u w:val="none"/>
                <w:lang w:val="en-US" w:eastAsia="zh-CN" w:bidi="ar"/>
              </w:rPr>
              <w:t>单位</w:t>
            </w:r>
          </w:p>
        </w:tc>
        <w:tc>
          <w:tcPr>
            <w:tcW w:w="2767" w:type="dxa"/>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sz w:val="20"/>
                <w:szCs w:val="20"/>
                <w:u w:val="none"/>
              </w:rPr>
            </w:pPr>
            <w:r>
              <w:rPr>
                <w:rFonts w:hint="eastAsia" w:ascii="宋体" w:hAnsi="宋体" w:eastAsia="宋体" w:cs="宋体"/>
                <w:b/>
                <w:bCs/>
                <w:i w:val="0"/>
                <w:iCs w:val="0"/>
                <w:color w:val="auto"/>
                <w:kern w:val="0"/>
                <w:sz w:val="20"/>
                <w:szCs w:val="20"/>
                <w:u w:val="none"/>
                <w:lang w:val="en-US" w:eastAsia="zh-CN" w:bidi="ar"/>
              </w:rPr>
              <w:t>数量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DN500 球墨铸铁管</w:t>
            </w: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m</w:t>
            </w:r>
          </w:p>
        </w:tc>
        <w:tc>
          <w:tcPr>
            <w:tcW w:w="2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0"/>
                <w:szCs w:val="20"/>
                <w:u w:val="none"/>
                <w:lang w:val="en-US"/>
              </w:rPr>
            </w:pPr>
            <w:r>
              <w:rPr>
                <w:rFonts w:hint="eastAsia" w:ascii="宋体" w:hAnsi="宋体" w:cs="宋体"/>
                <w:i w:val="0"/>
                <w:iCs w:val="0"/>
                <w:color w:val="auto"/>
                <w:kern w:val="0"/>
                <w:sz w:val="20"/>
                <w:szCs w:val="20"/>
                <w:u w:val="none"/>
                <w:lang w:val="en-US" w:eastAsia="zh-CN" w:bidi="ar"/>
              </w:rPr>
              <w:t>2120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DN400 II级钢筋混凝土管</w:t>
            </w: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m</w:t>
            </w:r>
          </w:p>
        </w:tc>
        <w:tc>
          <w:tcPr>
            <w:tcW w:w="2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0"/>
                <w:szCs w:val="20"/>
                <w:u w:val="none"/>
                <w:lang w:val="en-US"/>
              </w:rPr>
            </w:pPr>
            <w:r>
              <w:rPr>
                <w:rFonts w:hint="eastAsia" w:ascii="宋体" w:hAnsi="宋体" w:cs="宋体"/>
                <w:i w:val="0"/>
                <w:iCs w:val="0"/>
                <w:color w:val="auto"/>
                <w:kern w:val="0"/>
                <w:sz w:val="20"/>
                <w:szCs w:val="20"/>
                <w:u w:val="none"/>
                <w:lang w:val="en-US" w:eastAsia="zh-CN" w:bidi="ar"/>
              </w:rPr>
              <w:t>109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DN300 II级钢筋混凝土管</w:t>
            </w: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m</w:t>
            </w:r>
          </w:p>
        </w:tc>
        <w:tc>
          <w:tcPr>
            <w:tcW w:w="2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0"/>
                <w:szCs w:val="20"/>
                <w:u w:val="none"/>
                <w:lang w:val="en-US"/>
              </w:rPr>
            </w:pPr>
            <w:r>
              <w:rPr>
                <w:rFonts w:hint="eastAsia" w:ascii="宋体" w:hAnsi="宋体" w:cs="宋体"/>
                <w:i w:val="0"/>
                <w:iCs w:val="0"/>
                <w:color w:val="auto"/>
                <w:kern w:val="0"/>
                <w:sz w:val="20"/>
                <w:szCs w:val="20"/>
                <w:u w:val="none"/>
                <w:lang w:val="en-US" w:eastAsia="zh-CN" w:bidi="ar"/>
              </w:rPr>
              <w:t>1551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DN200 HDPE双壁波纹管</w:t>
            </w: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m</w:t>
            </w:r>
          </w:p>
        </w:tc>
        <w:tc>
          <w:tcPr>
            <w:tcW w:w="2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0"/>
                <w:szCs w:val="20"/>
                <w:u w:val="none"/>
                <w:lang w:val="en-US"/>
              </w:rPr>
            </w:pPr>
            <w:r>
              <w:rPr>
                <w:rFonts w:hint="eastAsia" w:ascii="宋体" w:hAnsi="宋体" w:cs="宋体"/>
                <w:i w:val="0"/>
                <w:iCs w:val="0"/>
                <w:color w:val="auto"/>
                <w:kern w:val="0"/>
                <w:sz w:val="20"/>
                <w:szCs w:val="20"/>
                <w:u w:val="none"/>
                <w:lang w:val="en-US" w:eastAsia="zh-CN" w:bidi="ar"/>
              </w:rPr>
              <w:t>621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D160*4 PVC-U接户管</w:t>
            </w: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m</w:t>
            </w:r>
          </w:p>
        </w:tc>
        <w:tc>
          <w:tcPr>
            <w:tcW w:w="2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0"/>
                <w:szCs w:val="20"/>
                <w:u w:val="none"/>
                <w:lang w:val="en-US"/>
              </w:rPr>
            </w:pPr>
            <w:r>
              <w:rPr>
                <w:rFonts w:hint="eastAsia" w:ascii="宋体" w:hAnsi="宋体" w:cs="宋体"/>
                <w:i w:val="0"/>
                <w:iCs w:val="0"/>
                <w:color w:val="auto"/>
                <w:kern w:val="0"/>
                <w:sz w:val="20"/>
                <w:szCs w:val="20"/>
                <w:u w:val="none"/>
                <w:lang w:val="en-US" w:eastAsia="zh-CN" w:bidi="ar"/>
              </w:rPr>
              <w:t>1321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D426x9 焊接钢管</w:t>
            </w: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m</w:t>
            </w:r>
          </w:p>
        </w:tc>
        <w:tc>
          <w:tcPr>
            <w:tcW w:w="2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0"/>
                <w:szCs w:val="20"/>
                <w:u w:val="none"/>
                <w:lang w:val="en-US"/>
              </w:rPr>
            </w:pPr>
            <w:r>
              <w:rPr>
                <w:rFonts w:hint="eastAsia" w:ascii="宋体" w:hAnsi="宋体" w:cs="宋体"/>
                <w:i w:val="0"/>
                <w:iCs w:val="0"/>
                <w:color w:val="auto"/>
                <w:kern w:val="0"/>
                <w:sz w:val="20"/>
                <w:szCs w:val="20"/>
                <w:u w:val="none"/>
                <w:lang w:val="en-US" w:eastAsia="zh-CN" w:bidi="ar"/>
              </w:rPr>
              <w:t>56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7</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D110*3.2 PVC-U雨水立管</w:t>
            </w: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m</w:t>
            </w:r>
          </w:p>
        </w:tc>
        <w:tc>
          <w:tcPr>
            <w:tcW w:w="2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0"/>
                <w:szCs w:val="20"/>
                <w:u w:val="none"/>
                <w:lang w:val="en-US"/>
              </w:rPr>
            </w:pPr>
            <w:r>
              <w:rPr>
                <w:rFonts w:hint="eastAsia" w:ascii="宋体" w:hAnsi="宋体" w:cs="宋体"/>
                <w:i w:val="0"/>
                <w:iCs w:val="0"/>
                <w:color w:val="auto"/>
                <w:kern w:val="0"/>
                <w:sz w:val="20"/>
                <w:szCs w:val="20"/>
                <w:u w:val="none"/>
                <w:lang w:val="en-US" w:eastAsia="zh-CN" w:bidi="ar"/>
              </w:rPr>
              <w:t>362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φ1200预制装配式钢筋混凝土检查井</w:t>
            </w: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2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0"/>
                <w:szCs w:val="20"/>
                <w:u w:val="none"/>
                <w:lang w:val="en-US"/>
              </w:rPr>
            </w:pPr>
            <w:r>
              <w:rPr>
                <w:rFonts w:hint="eastAsia" w:ascii="宋体" w:hAnsi="宋体" w:cs="宋体"/>
                <w:i w:val="0"/>
                <w:iCs w:val="0"/>
                <w:color w:val="auto"/>
                <w:kern w:val="0"/>
                <w:sz w:val="20"/>
                <w:szCs w:val="20"/>
                <w:u w:val="none"/>
                <w:lang w:val="en-US" w:eastAsia="zh-CN" w:bidi="ar"/>
              </w:rPr>
              <w:t>29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φ1000预制装配式钢筋混凝土检查井</w:t>
            </w: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2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0"/>
                <w:szCs w:val="20"/>
                <w:u w:val="none"/>
                <w:lang w:val="en-US" w:eastAsia="zh-CN"/>
              </w:rPr>
            </w:pPr>
            <w:r>
              <w:rPr>
                <w:rFonts w:hint="eastAsia" w:ascii="宋体" w:hAnsi="宋体" w:cs="宋体"/>
                <w:i w:val="0"/>
                <w:iCs w:val="0"/>
                <w:color w:val="auto"/>
                <w:sz w:val="20"/>
                <w:szCs w:val="20"/>
                <w:u w:val="none"/>
                <w:lang w:val="en-US" w:eastAsia="zh-CN"/>
              </w:rPr>
              <w:t>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φ1200预制装配式钢筋混凝土沉泥井</w:t>
            </w:r>
            <w:r>
              <w:rPr>
                <w:rFonts w:hint="eastAsia" w:ascii="宋体" w:hAnsi="宋体" w:eastAsia="宋体" w:cs="宋体"/>
                <w:i w:val="0"/>
                <w:iCs w:val="0"/>
                <w:color w:val="auto"/>
                <w:sz w:val="20"/>
                <w:szCs w:val="20"/>
                <w:u w:val="none"/>
                <w:lang w:val="en-US" w:eastAsia="zh-CN"/>
              </w:rPr>
              <w:t>（沉泥</w:t>
            </w:r>
            <w:r>
              <w:rPr>
                <w:rFonts w:hint="eastAsia" w:ascii="宋体" w:hAnsi="宋体" w:eastAsia="宋体" w:cs="宋体"/>
                <w:i w:val="0"/>
                <w:iCs w:val="0"/>
                <w:color w:val="auto"/>
                <w:kern w:val="0"/>
                <w:sz w:val="20"/>
                <w:szCs w:val="20"/>
                <w:u w:val="none"/>
                <w:lang w:val="en-US" w:eastAsia="zh-CN" w:bidi="ar"/>
              </w:rPr>
              <w:t>深度500mm）</w:t>
            </w: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2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0"/>
                <w:szCs w:val="20"/>
                <w:u w:val="none"/>
                <w:lang w:val="en-US"/>
              </w:rPr>
            </w:pPr>
            <w:r>
              <w:rPr>
                <w:rFonts w:hint="eastAsia" w:ascii="宋体" w:hAnsi="宋体" w:cs="宋体"/>
                <w:i w:val="0"/>
                <w:iCs w:val="0"/>
                <w:color w:val="auto"/>
                <w:kern w:val="0"/>
                <w:sz w:val="20"/>
                <w:szCs w:val="20"/>
                <w:u w:val="none"/>
                <w:lang w:val="en-US" w:eastAsia="zh-CN" w:bidi="ar"/>
              </w:rPr>
              <w:t>14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φ1000预制装配式钢筋混凝土沉泥井</w:t>
            </w:r>
            <w:r>
              <w:rPr>
                <w:rFonts w:hint="eastAsia" w:ascii="宋体" w:hAnsi="宋体" w:eastAsia="宋体" w:cs="宋体"/>
                <w:i w:val="0"/>
                <w:iCs w:val="0"/>
                <w:color w:val="auto"/>
                <w:sz w:val="20"/>
                <w:szCs w:val="20"/>
                <w:u w:val="none"/>
                <w:lang w:val="en-US" w:eastAsia="zh-CN"/>
              </w:rPr>
              <w:t>（沉</w:t>
            </w:r>
            <w:r>
              <w:rPr>
                <w:rFonts w:hint="eastAsia" w:ascii="宋体" w:hAnsi="宋体" w:eastAsia="宋体" w:cs="宋体"/>
                <w:i w:val="0"/>
                <w:iCs w:val="0"/>
                <w:color w:val="auto"/>
                <w:kern w:val="0"/>
                <w:sz w:val="20"/>
                <w:szCs w:val="20"/>
                <w:u w:val="none"/>
                <w:lang w:val="en-US" w:eastAsia="zh-CN" w:bidi="ar"/>
              </w:rPr>
              <w:t>泥深度500mm）</w:t>
            </w: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2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0"/>
                <w:szCs w:val="20"/>
                <w:u w:val="none"/>
                <w:lang w:val="en-US"/>
              </w:rPr>
            </w:pPr>
            <w:r>
              <w:rPr>
                <w:rFonts w:hint="eastAsia" w:ascii="宋体" w:hAnsi="宋体" w:cs="宋体"/>
                <w:i w:val="0"/>
                <w:iCs w:val="0"/>
                <w:color w:val="auto"/>
                <w:kern w:val="0"/>
                <w:sz w:val="20"/>
                <w:szCs w:val="20"/>
                <w:u w:val="none"/>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φ630塑料检查井</w:t>
            </w: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2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0"/>
                <w:szCs w:val="20"/>
                <w:u w:val="none"/>
                <w:lang w:val="en-US"/>
              </w:rPr>
            </w:pPr>
            <w:r>
              <w:rPr>
                <w:rFonts w:hint="eastAsia" w:ascii="宋体" w:hAnsi="宋体" w:cs="宋体"/>
                <w:i w:val="0"/>
                <w:iCs w:val="0"/>
                <w:color w:val="auto"/>
                <w:kern w:val="0"/>
                <w:sz w:val="20"/>
                <w:szCs w:val="20"/>
                <w:u w:val="none"/>
                <w:lang w:val="en-US" w:eastAsia="zh-CN" w:bidi="ar"/>
              </w:rPr>
              <w:t>34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13</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雨污交汇井</w:t>
            </w: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2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14</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倒虹井及配套闸门</w:t>
            </w: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2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15</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单篦雨水篦子</w:t>
            </w: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2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16</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路面破除及修复-沥青路</w:t>
            </w: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m²</w:t>
            </w:r>
          </w:p>
        </w:tc>
        <w:tc>
          <w:tcPr>
            <w:tcW w:w="2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0"/>
                <w:szCs w:val="20"/>
                <w:u w:val="none"/>
                <w:lang w:val="en-US"/>
              </w:rPr>
            </w:pPr>
            <w:r>
              <w:rPr>
                <w:rFonts w:hint="eastAsia" w:ascii="宋体" w:hAnsi="宋体" w:cs="宋体"/>
                <w:i w:val="0"/>
                <w:iCs w:val="0"/>
                <w:color w:val="auto"/>
                <w:kern w:val="0"/>
                <w:sz w:val="20"/>
                <w:szCs w:val="20"/>
                <w:u w:val="none"/>
                <w:lang w:val="en-US" w:eastAsia="zh-CN" w:bidi="ar"/>
              </w:rPr>
              <w:t>7665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17</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路面破除及修复-水泥路</w:t>
            </w: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m²</w:t>
            </w:r>
          </w:p>
        </w:tc>
        <w:tc>
          <w:tcPr>
            <w:tcW w:w="2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0"/>
                <w:szCs w:val="20"/>
                <w:u w:val="none"/>
                <w:lang w:val="en-US"/>
              </w:rPr>
            </w:pPr>
            <w:r>
              <w:rPr>
                <w:rFonts w:hint="eastAsia" w:ascii="宋体" w:hAnsi="宋体" w:cs="宋体"/>
                <w:i w:val="0"/>
                <w:iCs w:val="0"/>
                <w:color w:val="auto"/>
                <w:kern w:val="0"/>
                <w:sz w:val="20"/>
                <w:szCs w:val="20"/>
                <w:u w:val="none"/>
                <w:lang w:val="en-US" w:eastAsia="zh-CN" w:bidi="ar"/>
              </w:rPr>
              <w:t>3420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18</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管线保护</w:t>
            </w: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m</w:t>
            </w:r>
          </w:p>
        </w:tc>
        <w:tc>
          <w:tcPr>
            <w:tcW w:w="2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0"/>
                <w:szCs w:val="20"/>
                <w:u w:val="none"/>
                <w:lang w:val="en-US"/>
              </w:rPr>
            </w:pPr>
            <w:r>
              <w:rPr>
                <w:rFonts w:hint="eastAsia" w:ascii="宋体" w:hAnsi="宋体" w:cs="宋体"/>
                <w:i w:val="0"/>
                <w:iCs w:val="0"/>
                <w:color w:val="auto"/>
                <w:kern w:val="0"/>
                <w:sz w:val="20"/>
                <w:szCs w:val="20"/>
                <w:u w:val="none"/>
                <w:lang w:val="en-US" w:eastAsia="zh-CN" w:bidi="ar"/>
              </w:rPr>
              <w:t>1240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19</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0"/>
                <w:szCs w:val="20"/>
                <w:u w:val="none"/>
                <w:lang w:eastAsia="zh-CN"/>
              </w:rPr>
            </w:pPr>
            <w:r>
              <w:rPr>
                <w:rFonts w:hint="eastAsia" w:ascii="宋体" w:hAnsi="宋体" w:cs="宋体"/>
                <w:i w:val="0"/>
                <w:iCs w:val="0"/>
                <w:color w:val="auto"/>
                <w:sz w:val="20"/>
                <w:szCs w:val="20"/>
                <w:u w:val="none"/>
                <w:lang w:eastAsia="zh-CN"/>
              </w:rPr>
              <w:t>管渠清淤</w:t>
            </w: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0"/>
                <w:szCs w:val="20"/>
                <w:u w:val="none"/>
                <w:lang w:val="en-US"/>
              </w:rPr>
            </w:pPr>
            <w:r>
              <w:rPr>
                <w:rFonts w:hint="eastAsia" w:ascii="宋体" w:hAnsi="宋体" w:cs="宋体"/>
                <w:i w:val="0"/>
                <w:iCs w:val="0"/>
                <w:color w:val="auto"/>
                <w:kern w:val="0"/>
                <w:sz w:val="20"/>
                <w:szCs w:val="20"/>
                <w:u w:val="none"/>
                <w:lang w:val="en-US" w:eastAsia="zh-CN" w:bidi="ar"/>
              </w:rPr>
              <w:t>m³</w:t>
            </w:r>
          </w:p>
        </w:tc>
        <w:tc>
          <w:tcPr>
            <w:tcW w:w="2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auto"/>
                <w:sz w:val="20"/>
                <w:szCs w:val="20"/>
                <w:u w:val="none"/>
                <w:lang w:val="en-US" w:eastAsia="zh-CN"/>
              </w:rPr>
            </w:pPr>
            <w:r>
              <w:rPr>
                <w:rFonts w:hint="eastAsia" w:ascii="宋体" w:hAnsi="宋体" w:cs="宋体"/>
                <w:i w:val="0"/>
                <w:iCs w:val="0"/>
                <w:color w:val="auto"/>
                <w:sz w:val="20"/>
                <w:szCs w:val="20"/>
                <w:u w:val="none"/>
                <w:lang w:val="en-US" w:eastAsia="zh-CN"/>
              </w:rPr>
              <w:t>358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20</w:t>
            </w:r>
          </w:p>
        </w:tc>
        <w:tc>
          <w:tcPr>
            <w:tcW w:w="3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交通标线</w:t>
            </w:r>
          </w:p>
        </w:tc>
        <w:tc>
          <w:tcPr>
            <w:tcW w:w="10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m²</w:t>
            </w:r>
          </w:p>
        </w:tc>
        <w:tc>
          <w:tcPr>
            <w:tcW w:w="27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1246</w:t>
            </w:r>
          </w:p>
        </w:tc>
      </w:tr>
    </w:tbl>
    <w:p>
      <w:pPr>
        <w:ind w:left="0" w:leftChars="0" w:firstLine="0" w:firstLineChars="0"/>
        <w:rPr>
          <w:rFonts w:cs="宋体" w:asciiTheme="minorEastAsia" w:hAnsiTheme="minorEastAsia" w:eastAsiaTheme="minorEastAsia"/>
          <w:color w:val="auto"/>
          <w:kern w:val="0"/>
          <w:sz w:val="28"/>
          <w:szCs w:val="21"/>
          <w:lang w:val="sq-AL"/>
        </w:rPr>
      </w:pPr>
    </w:p>
    <w:p>
      <w:pPr>
        <w:pStyle w:val="38"/>
        <w:numPr>
          <w:ilvl w:val="0"/>
          <w:numId w:val="9"/>
        </w:numPr>
        <w:rPr>
          <w:rFonts w:cs="宋体"/>
          <w:color w:val="auto"/>
          <w:sz w:val="32"/>
          <w:szCs w:val="40"/>
        </w:rPr>
      </w:pPr>
      <w:bookmarkStart w:id="100" w:name="_Toc29219"/>
      <w:bookmarkStart w:id="101" w:name="_Toc7903"/>
      <w:r>
        <w:rPr>
          <w:rFonts w:cs="宋体"/>
          <w:color w:val="auto"/>
          <w:sz w:val="32"/>
          <w:szCs w:val="40"/>
        </w:rPr>
        <w:t>道路开挖与修复、交通疏解</w:t>
      </w:r>
      <w:bookmarkEnd w:id="100"/>
      <w:bookmarkEnd w:id="101"/>
    </w:p>
    <w:p>
      <w:pPr>
        <w:pStyle w:val="39"/>
        <w:numPr>
          <w:ilvl w:val="1"/>
          <w:numId w:val="9"/>
        </w:numPr>
        <w:rPr>
          <w:rFonts w:cs="宋体" w:asciiTheme="minorEastAsia" w:hAnsiTheme="minorEastAsia" w:eastAsiaTheme="minorEastAsia"/>
          <w:color w:val="auto"/>
          <w:sz w:val="28"/>
          <w:szCs w:val="28"/>
        </w:rPr>
      </w:pPr>
      <w:bookmarkStart w:id="102" w:name="_Toc23093"/>
      <w:bookmarkStart w:id="103" w:name="_Toc9379"/>
      <w:r>
        <w:rPr>
          <w:rFonts w:cs="宋体" w:asciiTheme="minorEastAsia" w:hAnsiTheme="minorEastAsia" w:eastAsiaTheme="minorEastAsia"/>
          <w:color w:val="auto"/>
          <w:sz w:val="28"/>
          <w:szCs w:val="28"/>
        </w:rPr>
        <w:t>道路开挖与修复</w:t>
      </w:r>
      <w:bookmarkEnd w:id="102"/>
      <w:bookmarkEnd w:id="103"/>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本工程主要为管道埋设，需要破除现状道路后，重新恢复路面。</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（一）道路平面设计</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道路平面均维持现状平面。破除沥青路面时，按管道开挖范围考虑；其他路段为混凝土路面，道路破除修复，按整块混凝土路面板考虑。</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（二）道路纵断面设计</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道路纵断面均用现状标高，局部地方调整，使道路平顺。</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（三）道路横断面设计</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道路横断面均为现状断面，路拱横坡为1~2%。</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（四）路面结构设计</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修复大样图如下：</w:t>
      </w:r>
    </w:p>
    <w:p>
      <w:pPr>
        <w:keepNext w:val="0"/>
        <w:keepLines w:val="0"/>
        <w:pageBreakBefore w:val="0"/>
        <w:widowControl w:val="0"/>
        <w:kinsoku/>
        <w:wordWrap/>
        <w:overflowPunct/>
        <w:topLinePunct w:val="0"/>
        <w:autoSpaceDE/>
        <w:autoSpaceDN/>
        <w:bidi w:val="0"/>
        <w:adjustRightInd/>
        <w:snapToGrid/>
        <w:ind w:firstLine="0" w:firstLineChars="0"/>
        <w:textAlignment w:val="auto"/>
        <w:rPr>
          <w:color w:val="auto"/>
          <w:highlight w:val="none"/>
        </w:rPr>
      </w:pPr>
      <w:r>
        <w:rPr>
          <w:color w:val="auto"/>
          <w:highlight w:val="none"/>
        </w:rPr>
        <w:drawing>
          <wp:inline distT="0" distB="0" distL="114300" distR="114300">
            <wp:extent cx="5917565" cy="2609850"/>
            <wp:effectExtent l="0" t="0" r="6985" b="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85"/>
                    <a:stretch>
                      <a:fillRect/>
                    </a:stretch>
                  </pic:blipFill>
                  <pic:spPr>
                    <a:xfrm>
                      <a:off x="0" y="0"/>
                      <a:ext cx="5917565" cy="2609850"/>
                    </a:xfrm>
                    <a:prstGeom prst="rect">
                      <a:avLst/>
                    </a:prstGeom>
                    <a:noFill/>
                    <a:ln>
                      <a:noFill/>
                    </a:ln>
                  </pic:spPr>
                </pic:pic>
              </a:graphicData>
            </a:graphic>
          </wp:inline>
        </w:drawing>
      </w:r>
    </w:p>
    <w:p>
      <w:pPr>
        <w:pStyle w:val="44"/>
        <w:numPr>
          <w:ilvl w:val="8"/>
          <w:numId w:val="9"/>
        </w:numPr>
        <w:bidi w:val="0"/>
        <w:rPr>
          <w:color w:val="auto"/>
          <w:highlight w:val="none"/>
        </w:rPr>
      </w:pPr>
      <w:r>
        <w:rPr>
          <w:rFonts w:hint="eastAsia"/>
          <w:color w:val="auto"/>
          <w:highlight w:val="none"/>
          <w:lang w:eastAsia="zh-CN"/>
        </w:rPr>
        <w:t>道路修复大样图</w:t>
      </w:r>
    </w:p>
    <w:p>
      <w:pPr>
        <w:keepNext w:val="0"/>
        <w:keepLines w:val="0"/>
        <w:pageBreakBefore w:val="0"/>
        <w:widowControl w:val="0"/>
        <w:kinsoku/>
        <w:wordWrap/>
        <w:overflowPunct/>
        <w:topLinePunct w:val="0"/>
        <w:autoSpaceDE/>
        <w:autoSpaceDN/>
        <w:bidi w:val="0"/>
        <w:adjustRightInd/>
        <w:snapToGrid/>
        <w:ind w:firstLine="0" w:firstLineChars="0"/>
        <w:textAlignment w:val="auto"/>
        <w:rPr>
          <w:color w:val="auto"/>
          <w:highlight w:val="none"/>
        </w:rPr>
      </w:pPr>
      <w:r>
        <w:rPr>
          <w:color w:val="auto"/>
          <w:highlight w:val="none"/>
        </w:rPr>
        <w:drawing>
          <wp:inline distT="0" distB="0" distL="114300" distR="114300">
            <wp:extent cx="6002020" cy="1165225"/>
            <wp:effectExtent l="0" t="0" r="17780" b="1587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86"/>
                    <a:srcRect b="27299"/>
                    <a:stretch>
                      <a:fillRect/>
                    </a:stretch>
                  </pic:blipFill>
                  <pic:spPr>
                    <a:xfrm>
                      <a:off x="0" y="0"/>
                      <a:ext cx="6002020" cy="1165225"/>
                    </a:xfrm>
                    <a:prstGeom prst="rect">
                      <a:avLst/>
                    </a:prstGeom>
                    <a:noFill/>
                    <a:ln>
                      <a:noFill/>
                    </a:ln>
                  </pic:spPr>
                </pic:pic>
              </a:graphicData>
            </a:graphic>
          </wp:inline>
        </w:drawing>
      </w:r>
    </w:p>
    <w:p>
      <w:pPr>
        <w:pStyle w:val="44"/>
        <w:numPr>
          <w:ilvl w:val="8"/>
          <w:numId w:val="9"/>
        </w:numPr>
        <w:bidi w:val="0"/>
        <w:rPr>
          <w:color w:val="auto"/>
          <w:highlight w:val="none"/>
        </w:rPr>
      </w:pPr>
      <w:r>
        <w:rPr>
          <w:rFonts w:hint="eastAsia"/>
          <w:color w:val="auto"/>
          <w:highlight w:val="none"/>
          <w:lang w:eastAsia="zh-CN"/>
        </w:rPr>
        <w:t>新旧路面衔接图</w:t>
      </w:r>
    </w:p>
    <w:p>
      <w:pPr>
        <w:ind w:firstLine="565"/>
        <w:rPr>
          <w:rFonts w:cs="Times New Roman" w:asciiTheme="minorEastAsia" w:hAnsiTheme="minorEastAsia" w:eastAsiaTheme="minorEastAsia"/>
          <w:color w:val="auto"/>
          <w:sz w:val="24"/>
          <w:szCs w:val="21"/>
          <w:highlight w:val="none"/>
        </w:rPr>
      </w:pPr>
      <w:r>
        <w:rPr>
          <w:rFonts w:cs="宋体" w:asciiTheme="minorEastAsia" w:hAnsiTheme="minorEastAsia" w:eastAsiaTheme="minorEastAsia"/>
          <w:color w:val="auto"/>
          <w:sz w:val="28"/>
          <w:szCs w:val="21"/>
        </w:rPr>
        <w:t>主路（＞3m）修复结构为：</w:t>
      </w:r>
      <w:r>
        <w:rPr>
          <w:rFonts w:hint="eastAsia" w:cs="宋体" w:asciiTheme="minorEastAsia" w:hAnsiTheme="minorEastAsia" w:eastAsiaTheme="minorEastAsia"/>
          <w:color w:val="auto"/>
          <w:sz w:val="28"/>
          <w:szCs w:val="21"/>
          <w:lang w:val="en-US" w:eastAsia="zh-CN"/>
        </w:rPr>
        <w:t>20</w:t>
      </w:r>
      <w:r>
        <w:rPr>
          <w:rFonts w:cs="宋体" w:asciiTheme="minorEastAsia" w:hAnsiTheme="minorEastAsia" w:eastAsiaTheme="minorEastAsia"/>
          <w:color w:val="auto"/>
          <w:sz w:val="28"/>
          <w:szCs w:val="21"/>
        </w:rPr>
        <w:t>cmC3</w:t>
      </w:r>
      <w:r>
        <w:rPr>
          <w:rFonts w:hint="eastAsia" w:cs="宋体" w:asciiTheme="minorEastAsia" w:hAnsiTheme="minorEastAsia" w:eastAsiaTheme="minorEastAsia"/>
          <w:color w:val="auto"/>
          <w:sz w:val="28"/>
          <w:szCs w:val="21"/>
          <w:lang w:val="en-US" w:eastAsia="zh-CN"/>
        </w:rPr>
        <w:t>5</w:t>
      </w:r>
      <w:r>
        <w:rPr>
          <w:rFonts w:cs="宋体" w:asciiTheme="minorEastAsia" w:hAnsiTheme="minorEastAsia" w:eastAsiaTheme="minorEastAsia"/>
          <w:color w:val="auto"/>
          <w:sz w:val="28"/>
          <w:szCs w:val="21"/>
        </w:rPr>
        <w:t>混凝土面层，</w:t>
      </w:r>
      <w:r>
        <w:rPr>
          <w:rFonts w:hint="eastAsia" w:cs="宋体" w:asciiTheme="minorEastAsia" w:hAnsiTheme="minorEastAsia" w:eastAsiaTheme="minorEastAsia"/>
          <w:color w:val="auto"/>
          <w:sz w:val="28"/>
          <w:szCs w:val="21"/>
          <w:lang w:val="en-US" w:eastAsia="zh-CN"/>
        </w:rPr>
        <w:t>15</w:t>
      </w:r>
      <w:r>
        <w:rPr>
          <w:rFonts w:cs="宋体" w:asciiTheme="minorEastAsia" w:hAnsiTheme="minorEastAsia" w:eastAsiaTheme="minorEastAsia"/>
          <w:color w:val="auto"/>
          <w:sz w:val="28"/>
          <w:szCs w:val="21"/>
        </w:rPr>
        <w:t>cm</w:t>
      </w:r>
      <w:r>
        <w:rPr>
          <w:rFonts w:hint="eastAsia" w:cs="宋体" w:asciiTheme="minorEastAsia" w:hAnsiTheme="minorEastAsia" w:eastAsiaTheme="minorEastAsia"/>
          <w:color w:val="auto"/>
          <w:sz w:val="28"/>
          <w:szCs w:val="21"/>
          <w:lang w:eastAsia="zh-CN"/>
        </w:rPr>
        <w:t>厚</w:t>
      </w:r>
      <w:r>
        <w:rPr>
          <w:rFonts w:hint="eastAsia" w:cs="宋体" w:asciiTheme="minorEastAsia" w:hAnsiTheme="minorEastAsia" w:eastAsiaTheme="minorEastAsia"/>
          <w:color w:val="auto"/>
          <w:sz w:val="28"/>
          <w:szCs w:val="21"/>
          <w:lang w:val="en-US" w:eastAsia="zh-CN"/>
        </w:rPr>
        <w:t>C20</w:t>
      </w:r>
      <w:r>
        <w:rPr>
          <w:rFonts w:hint="eastAsia" w:cs="宋体" w:asciiTheme="minorEastAsia" w:hAnsiTheme="minorEastAsia" w:eastAsiaTheme="minorEastAsia"/>
          <w:color w:val="auto"/>
          <w:sz w:val="28"/>
          <w:szCs w:val="21"/>
          <w:lang w:eastAsia="zh-CN"/>
        </w:rPr>
        <w:t>混凝土基层</w:t>
      </w:r>
      <w:r>
        <w:rPr>
          <w:rFonts w:cs="宋体" w:asciiTheme="minorEastAsia" w:hAnsiTheme="minorEastAsia" w:eastAsiaTheme="minorEastAsia"/>
          <w:color w:val="auto"/>
          <w:sz w:val="28"/>
          <w:szCs w:val="21"/>
        </w:rPr>
        <w:t>；</w:t>
      </w:r>
    </w:p>
    <w:p>
      <w:pPr>
        <w:pStyle w:val="39"/>
        <w:numPr>
          <w:ilvl w:val="1"/>
          <w:numId w:val="9"/>
        </w:numPr>
        <w:rPr>
          <w:rFonts w:cs="宋体" w:asciiTheme="minorEastAsia" w:hAnsiTheme="minorEastAsia" w:eastAsiaTheme="minorEastAsia"/>
          <w:color w:val="auto"/>
          <w:sz w:val="28"/>
          <w:szCs w:val="28"/>
        </w:rPr>
      </w:pPr>
      <w:bookmarkStart w:id="104" w:name="_Toc12864"/>
      <w:bookmarkStart w:id="105" w:name="_Toc14835"/>
      <w:r>
        <w:rPr>
          <w:rFonts w:cs="宋体" w:asciiTheme="minorEastAsia" w:hAnsiTheme="minorEastAsia" w:eastAsiaTheme="minorEastAsia"/>
          <w:color w:val="auto"/>
          <w:sz w:val="28"/>
          <w:szCs w:val="28"/>
        </w:rPr>
        <w:t>施工排水措施</w:t>
      </w:r>
      <w:bookmarkEnd w:id="104"/>
      <w:bookmarkEnd w:id="105"/>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本项目在施工期间将面临雨季，因此需施工期间需做法施工排水措施，具体施工措施在施工阶段由施工单位根据实际情况确定，本报告建议措施如下：</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沟槽明沟排水如图所示，排水沟距沟槽</w:t>
      </w:r>
      <w:r>
        <w:rPr>
          <w:rFonts w:cs="宋体" w:asciiTheme="minorEastAsia" w:hAnsiTheme="minorEastAsia" w:eastAsiaTheme="minorEastAsia"/>
          <w:color w:val="auto"/>
          <w:sz w:val="28"/>
          <w:szCs w:val="21"/>
          <w:highlight w:val="none"/>
        </w:rPr>
        <w:t>坡角</w:t>
      </w:r>
      <w:r>
        <w:rPr>
          <w:rFonts w:cs="宋体" w:asciiTheme="minorEastAsia" w:hAnsiTheme="minorEastAsia" w:eastAsiaTheme="minorEastAsia"/>
          <w:color w:val="auto"/>
          <w:sz w:val="28"/>
          <w:szCs w:val="21"/>
        </w:rPr>
        <w:t>距离300mm，管沟每30m在管沟沟底两侧开挖井点排水，以满足管沟排水量为准，如个别地段管沟排水量增大或减小，可根据实际情况减小或增大排水井的距离。井室开挖每个</w:t>
      </w:r>
      <w:r>
        <w:rPr>
          <w:rFonts w:cs="宋体" w:asciiTheme="minorEastAsia" w:hAnsiTheme="minorEastAsia" w:eastAsiaTheme="minorEastAsia"/>
          <w:color w:val="auto"/>
          <w:sz w:val="28"/>
          <w:szCs w:val="21"/>
          <w:highlight w:val="none"/>
        </w:rPr>
        <w:t>井室对角</w:t>
      </w:r>
      <w:r>
        <w:rPr>
          <w:rFonts w:cs="宋体" w:asciiTheme="minorEastAsia" w:hAnsiTheme="minorEastAsia" w:eastAsiaTheme="minorEastAsia"/>
          <w:color w:val="auto"/>
          <w:sz w:val="28"/>
          <w:szCs w:val="21"/>
        </w:rPr>
        <w:t>开挖2个排水井。排水井尺寸为1m×1m×1m。排水井内排污泵现场保证数量10台，施工过程中根据实际情况增加。排水泵的排水工作应保证现场24小时不间断排水，白天及黑夜应派专人轮流值班，检查污水泵的排水情况，如发现排污泵出现问题，应及时解决。</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有地表水处首次开挖时，开挖速度不宜过快，开挖30m后停止开挖，仔细观察管沟的排水量，排水井的距离是否满足排水量的要求。观察管沟两侧的土质情况，如发现管沟两侧的土质有下滑或塌方的现象，应及时处理，并加大管沟坡度。开挖坡度的确定应以满足施工及现场的安全为主。</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管沟开挖完成合格后，应及时组织人员施工，管沟开挖完成后已及时进行后续的工作的进行，开挖及对口人员应保证15人以上，焊口的焊接人员应保证10人以上。</w:t>
      </w:r>
    </w:p>
    <w:p>
      <w:pPr>
        <w:pStyle w:val="39"/>
        <w:numPr>
          <w:ilvl w:val="1"/>
          <w:numId w:val="9"/>
        </w:numPr>
        <w:rPr>
          <w:rFonts w:cs="宋体" w:asciiTheme="minorEastAsia" w:hAnsiTheme="minorEastAsia" w:eastAsiaTheme="minorEastAsia"/>
          <w:color w:val="auto"/>
          <w:sz w:val="28"/>
          <w:szCs w:val="28"/>
        </w:rPr>
      </w:pPr>
      <w:bookmarkStart w:id="106" w:name="_Toc21709"/>
      <w:bookmarkStart w:id="107" w:name="_Toc32282"/>
      <w:r>
        <w:rPr>
          <w:rFonts w:cs="宋体" w:asciiTheme="minorEastAsia" w:hAnsiTheme="minorEastAsia" w:eastAsiaTheme="minorEastAsia"/>
          <w:color w:val="auto"/>
          <w:sz w:val="28"/>
          <w:szCs w:val="28"/>
        </w:rPr>
        <w:t>交通疏解设计</w:t>
      </w:r>
      <w:bookmarkEnd w:id="106"/>
      <w:bookmarkEnd w:id="107"/>
    </w:p>
    <w:p>
      <w:pPr>
        <w:pStyle w:val="40"/>
        <w:numPr>
          <w:ilvl w:val="2"/>
          <w:numId w:val="9"/>
        </w:numPr>
        <w:rPr>
          <w:rFonts w:cs="宋体" w:asciiTheme="minorEastAsia" w:hAnsiTheme="minorEastAsia" w:eastAsiaTheme="minorEastAsia"/>
          <w:color w:val="auto"/>
          <w:sz w:val="28"/>
          <w:szCs w:val="28"/>
        </w:rPr>
      </w:pPr>
      <w:bookmarkStart w:id="108" w:name="_Toc6856"/>
      <w:r>
        <w:rPr>
          <w:rFonts w:cs="宋体" w:asciiTheme="minorEastAsia" w:hAnsiTheme="minorEastAsia" w:eastAsiaTheme="minorEastAsia"/>
          <w:color w:val="auto"/>
          <w:sz w:val="28"/>
          <w:szCs w:val="28"/>
        </w:rPr>
        <w:t>减少工程对交通影响的总体原则</w:t>
      </w:r>
      <w:bookmarkEnd w:id="108"/>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本工程考虑采取以下方法和措施减少工程对交通的影响：</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（1）管道尽量靠近道路外侧边界布置，如布置在紧急停车带上或没有地下管线的绿化带中，减少管线施工面对公路的占用；</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（2）保证文明施工，所有开挖施工均采用围敞，挖土及时运走，注意降尘；</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（3）工程分段实施，避免全线同时开工以减少占地，先完成的应先拆除围敞；</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（4）积极与广州市公路管理局、交通管理部门、村委沟通协调，配合做好管道施工期间的交通疏导和管理工作；</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（5）施工期间应以保证道路主线交通畅通为优先原则，施工区域行人通道须保证2米以上宽度和连续性。</w:t>
      </w:r>
    </w:p>
    <w:p>
      <w:pPr>
        <w:pStyle w:val="40"/>
        <w:numPr>
          <w:ilvl w:val="2"/>
          <w:numId w:val="9"/>
        </w:numPr>
        <w:rPr>
          <w:rFonts w:cs="宋体" w:asciiTheme="minorEastAsia" w:hAnsiTheme="minorEastAsia" w:eastAsiaTheme="minorEastAsia"/>
          <w:color w:val="auto"/>
          <w:sz w:val="28"/>
          <w:szCs w:val="28"/>
        </w:rPr>
      </w:pPr>
      <w:bookmarkStart w:id="109" w:name="_Toc30436"/>
      <w:r>
        <w:rPr>
          <w:rFonts w:cs="宋体" w:asciiTheme="minorEastAsia" w:hAnsiTheme="minorEastAsia" w:eastAsiaTheme="minorEastAsia"/>
          <w:color w:val="auto"/>
          <w:sz w:val="28"/>
          <w:szCs w:val="28"/>
        </w:rPr>
        <w:t>交通疏解设计</w:t>
      </w:r>
      <w:bookmarkEnd w:id="109"/>
    </w:p>
    <w:p>
      <w:pPr>
        <w:pStyle w:val="37"/>
        <w:numPr>
          <w:ilvl w:val="3"/>
          <w:numId w:val="9"/>
        </w:numPr>
        <w:rPr>
          <w:rFonts w:cs="宋体" w:asciiTheme="minorEastAsia" w:hAnsiTheme="minorEastAsia" w:eastAsiaTheme="minorEastAsia"/>
          <w:color w:val="auto"/>
          <w:sz w:val="28"/>
          <w:szCs w:val="24"/>
        </w:rPr>
      </w:pPr>
      <w:r>
        <w:rPr>
          <w:rFonts w:cs="宋体" w:asciiTheme="minorEastAsia" w:hAnsiTheme="minorEastAsia" w:eastAsiaTheme="minorEastAsia"/>
          <w:color w:val="auto"/>
          <w:sz w:val="28"/>
          <w:szCs w:val="24"/>
        </w:rPr>
        <w:t>施工期间的交通组织</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一、施工期间的交通组织原则</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（1）确保施工期间交通安全；</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（2）尽量不中断现有交通，维持现有交通状况；</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（3）尽可能利用原有道路作为施工期间的交通道路；</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（4）使修建临时道路的费用最少；</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（5）科学安排施工顺序，尽快恢复原有交通；</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二、施工期间的交通组织方案</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本工程为现状路增加设置市政管线，因此施工期间局部路段需要进行交通疏解。</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1、主要工程内容</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拆除现状部分人行道、建筑物，设置围蔽设施、临时便道、交通设施等。</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2、交通组织</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施工期间交通组织基本与现状一致。管线施工期间，外部交通不受影响，分路段施工，保留现状路口，保证沿线单位和居民出入。</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3、围蔽方案示意</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（1）横向管道施工围蔽：过路管道施工围蔽分两个施工阶段，先围蔽中间段进行埋管施工，车辆从围蔽区域两边通过；第二阶段围蔽路两侧进行埋管施工，车辆从路中央车道通过。</w:t>
      </w:r>
    </w:p>
    <w:p>
      <w:pPr>
        <w:pStyle w:val="43"/>
        <w:rPr>
          <w:rFonts w:cs="宋体" w:asciiTheme="minorEastAsia" w:hAnsiTheme="minorEastAsia" w:eastAsiaTheme="minorEastAsia"/>
          <w:color w:val="auto"/>
          <w:sz w:val="28"/>
          <w:szCs w:val="18"/>
        </w:rPr>
      </w:pPr>
      <w:r>
        <w:rPr>
          <w:rFonts w:cs="宋体" w:asciiTheme="minorEastAsia" w:hAnsiTheme="minorEastAsia" w:eastAsiaTheme="minorEastAsia"/>
          <w:color w:val="auto"/>
          <w:sz w:val="28"/>
          <w:szCs w:val="18"/>
        </w:rPr>
        <w:drawing>
          <wp:inline distT="0" distB="0" distL="0" distR="0">
            <wp:extent cx="5180330" cy="2879090"/>
            <wp:effectExtent l="0" t="0" r="1270" b="1651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87"/>
                    <a:stretch>
                      <a:fillRect/>
                    </a:stretch>
                  </pic:blipFill>
                  <pic:spPr>
                    <a:xfrm>
                      <a:off x="0" y="0"/>
                      <a:ext cx="5180330" cy="2879090"/>
                    </a:xfrm>
                    <a:prstGeom prst="rect">
                      <a:avLst/>
                    </a:prstGeom>
                  </pic:spPr>
                </pic:pic>
              </a:graphicData>
            </a:graphic>
          </wp:inline>
        </w:drawing>
      </w:r>
    </w:p>
    <w:p>
      <w:pPr>
        <w:pStyle w:val="44"/>
        <w:numPr>
          <w:ilvl w:val="8"/>
          <w:numId w:val="9"/>
        </w:numPr>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横向管道施工围蔽阶段一示意图</w:t>
      </w:r>
    </w:p>
    <w:p>
      <w:pPr>
        <w:pStyle w:val="43"/>
        <w:rPr>
          <w:rFonts w:cs="宋体" w:asciiTheme="minorEastAsia" w:hAnsiTheme="minorEastAsia" w:eastAsiaTheme="minorEastAsia"/>
          <w:color w:val="auto"/>
          <w:sz w:val="28"/>
          <w:szCs w:val="18"/>
        </w:rPr>
      </w:pPr>
      <w:r>
        <w:rPr>
          <w:rFonts w:cs="宋体" w:asciiTheme="minorEastAsia" w:hAnsiTheme="minorEastAsia" w:eastAsiaTheme="minorEastAsia"/>
          <w:color w:val="auto"/>
          <w:sz w:val="28"/>
          <w:szCs w:val="18"/>
        </w:rPr>
        <w:drawing>
          <wp:inline distT="0" distB="0" distL="0" distR="0">
            <wp:extent cx="5486400" cy="331597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88"/>
                    <a:stretch>
                      <a:fillRect/>
                    </a:stretch>
                  </pic:blipFill>
                  <pic:spPr>
                    <a:xfrm>
                      <a:off x="0" y="0"/>
                      <a:ext cx="5486400" cy="3315970"/>
                    </a:xfrm>
                    <a:prstGeom prst="rect">
                      <a:avLst/>
                    </a:prstGeom>
                  </pic:spPr>
                </pic:pic>
              </a:graphicData>
            </a:graphic>
          </wp:inline>
        </w:drawing>
      </w:r>
    </w:p>
    <w:p>
      <w:pPr>
        <w:pStyle w:val="44"/>
        <w:numPr>
          <w:ilvl w:val="8"/>
          <w:numId w:val="9"/>
        </w:numPr>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横向管道施工围蔽阶段二示意图</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（2）纵向主干管施工围蔽：纵向管道施工围蔽分段进行，只围蔽其中一条车道进行施工。</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施工期间实施的管理措施以及注意事项</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向传媒通告本项目的施工疏解情况，让广大驾驶员了解施工区域的交通组织。</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施工围蔽措施必须严格按照广州市建设委员会《关于规范市政工程文明施工围蔽设施的通知》及广州市市政园林局《广州市市政工程文明施工规范实施细则》执行。</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本工程施工范围内的各个交通要点、人行横道线，施工单位需派出交通协管员（每天7：00-22：00），协助辖区交警维持交通秩序。</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本工程施工范围内如出现车行通道、人行道出现破损、积水及会影响行人、车辆通行能力等情况，施工单位必须及时对其进行抢修。</w:t>
      </w:r>
    </w:p>
    <w:p>
      <w:pPr>
        <w:ind w:firstLine="565"/>
        <w:rPr>
          <w:rFonts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eastAsia="zh-CN"/>
        </w:rPr>
        <w:t>本工程施工范围内的如遇居民上下班、上学放学、交通繁忙等时段</w:t>
      </w:r>
      <w:r>
        <w:rPr>
          <w:rFonts w:hint="eastAsia" w:cs="宋体" w:asciiTheme="minorEastAsia" w:hAnsiTheme="minorEastAsia" w:eastAsiaTheme="minorEastAsia"/>
          <w:color w:val="auto"/>
          <w:sz w:val="28"/>
          <w:szCs w:val="21"/>
          <w:lang w:val="en-US" w:eastAsia="zh-CN"/>
        </w:rPr>
        <w:t>,施工单位应在施工路段安排不少于2名专职交通协管员现场指挥疏导交通，具体交通引导人员及轮班安排由交警有关部门确定，全面负责施工段交通保障，加强施工场地的巡查，消除安全隐患，杜绝交通安全事故的发生。建立与交警部门联系的直通道，及时反馈现场交通状况，在工作日上下班、上学放学等交通繁忙时间段有必要时请交警到现场指导交通疏解员指挥，如遇严重塞车或突发事件塞车时，及时请交警到现场指挥并按应急方案进行分流。根据工程分段布置情况，施工场地合理安排进、出车道，做到各行其道；工程车严格按指示和交通指挥员指挥行驶，礼让其它车辆。</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本交通组织设计中的各类临时交通实施必须在辖区交警部门指导下安装，并且安装的位置不能影响现状道路各功种设施的使用。</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车道收窄区域机非分隔设施上需增加诱导标；施工围蔽期间应注意施工警告标志、施工区告示标志、线形导向标志、限速标志和解除限速标志的设置要规范，不得随意嵌套和侵入车行道限界。</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施工单位所采用的任何施工方法都应不影响交通通行能力为前提，并注意施工高度的要求。在施工期间施工单位应该有计划、有步骤地分阶段进行围蔽施工，并应该根据施工进度的情况相应减少围蔽的范围，尽早还路于民。</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施工围蔽区域</w:t>
      </w:r>
      <w:r>
        <w:rPr>
          <w:rFonts w:cs="宋体" w:asciiTheme="minorEastAsia" w:hAnsiTheme="minorEastAsia" w:eastAsiaTheme="minorEastAsia"/>
          <w:color w:val="auto"/>
          <w:sz w:val="28"/>
          <w:szCs w:val="21"/>
          <w:highlight w:val="none"/>
        </w:rPr>
        <w:t>须</w:t>
      </w:r>
      <w:r>
        <w:rPr>
          <w:rFonts w:cs="宋体" w:asciiTheme="minorEastAsia" w:hAnsiTheme="minorEastAsia" w:eastAsiaTheme="minorEastAsia"/>
          <w:color w:val="auto"/>
          <w:sz w:val="28"/>
          <w:szCs w:val="21"/>
        </w:rPr>
        <w:t>合理设置进出口。一般进出口日间封闭，在征得辖区交警大队同意之下，夜间施工车辆可以在规定的时段、按规定的行驶路线进出。应急开口主要为应对突发交通事件而设置，一般不得开启，以免影响交通。施工围蔽应严格按照《道路交通标志和标线第4部分：作业区》（GB5768.4-2017）附录B.7要求设置标准亮度的施工警告灯，雨雾天气全天开启，其他天气傍晚开启；9.1.1规定施工作业控制区围板高度不低于1.8米，但路口、人行横道20米范围内，围板0.8米以上部分应采用通透式围挡，保证路口安全视距满足要求；相关设施规格、反光技术标准应符合国标规范要求。</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公交站的迁移</w:t>
      </w:r>
      <w:r>
        <w:rPr>
          <w:rFonts w:cs="宋体" w:asciiTheme="minorEastAsia" w:hAnsiTheme="minorEastAsia" w:eastAsiaTheme="minorEastAsia"/>
          <w:color w:val="auto"/>
          <w:sz w:val="28"/>
          <w:szCs w:val="21"/>
          <w:highlight w:val="none"/>
        </w:rPr>
        <w:t>须</w:t>
      </w:r>
      <w:r>
        <w:rPr>
          <w:rFonts w:cs="宋体" w:asciiTheme="minorEastAsia" w:hAnsiTheme="minorEastAsia" w:eastAsiaTheme="minorEastAsia"/>
          <w:color w:val="auto"/>
          <w:sz w:val="28"/>
          <w:szCs w:val="21"/>
        </w:rPr>
        <w:t>在交警、交委的指导下进行。涉及公交线路调整、公交站迁移等有关事项，</w:t>
      </w:r>
      <w:r>
        <w:rPr>
          <w:rFonts w:cs="宋体" w:asciiTheme="minorEastAsia" w:hAnsiTheme="minorEastAsia" w:eastAsiaTheme="minorEastAsia"/>
          <w:color w:val="auto"/>
          <w:sz w:val="28"/>
          <w:szCs w:val="21"/>
          <w:highlight w:val="none"/>
        </w:rPr>
        <w:t>另见交委</w:t>
      </w:r>
      <w:r>
        <w:rPr>
          <w:rFonts w:cs="宋体" w:asciiTheme="minorEastAsia" w:hAnsiTheme="minorEastAsia" w:eastAsiaTheme="minorEastAsia"/>
          <w:color w:val="auto"/>
          <w:sz w:val="28"/>
          <w:szCs w:val="21"/>
        </w:rPr>
        <w:t>的最终调整方案。</w:t>
      </w:r>
    </w:p>
    <w:p>
      <w:pPr>
        <w:pStyle w:val="37"/>
        <w:numPr>
          <w:ilvl w:val="3"/>
          <w:numId w:val="9"/>
        </w:numPr>
        <w:rPr>
          <w:rFonts w:cs="宋体" w:asciiTheme="minorEastAsia" w:hAnsiTheme="minorEastAsia" w:eastAsiaTheme="minorEastAsia"/>
          <w:color w:val="auto"/>
          <w:sz w:val="28"/>
          <w:szCs w:val="24"/>
        </w:rPr>
      </w:pPr>
      <w:r>
        <w:rPr>
          <w:rFonts w:cs="宋体" w:asciiTheme="minorEastAsia" w:hAnsiTheme="minorEastAsia" w:eastAsiaTheme="minorEastAsia"/>
          <w:color w:val="auto"/>
          <w:sz w:val="28"/>
          <w:szCs w:val="24"/>
        </w:rPr>
        <w:t>交通设施设置</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一、交通标线</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标线用于管制和引导交通，应具有鲜明的确认效果。标线设置在路面上，应具有附着力强、经久耐磨、使用寿命长，耐候性好、抗污染、抗变色等性能。同时，标线还应具有施工时干燥迅速、施工方便、安全性能好等性能。在夜间，标线应具有良好反光效果，对行驶车辆的诱导有重要作用。</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（1）标线材料的质量要求</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道路标线的涂料采用环保反光热熔涂料涂划。标线涂料应符合《道路交通标线标志》（GB5768-1999）《路面标线涂料》（JT/T280）《道路标线漆常温型》（GN47-1989）和《道路标线漆热塑型》（GN48-1989）的有关规定。</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（2）施工过程中的注意事项</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控制涂料及玻璃珠的材料品质、控制路面干燥清洁、控制底漆均匀到位、控制水线线形顺直及位置正确、控制划线机行走线形顺直及位置正确。</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车道的划分见图中标注（线中</w:t>
      </w:r>
      <w:r>
        <w:rPr>
          <w:rFonts w:cs="宋体" w:asciiTheme="minorEastAsia" w:hAnsiTheme="minorEastAsia" w:eastAsiaTheme="minorEastAsia"/>
          <w:color w:val="auto"/>
          <w:sz w:val="28"/>
          <w:szCs w:val="21"/>
          <w:highlight w:val="none"/>
        </w:rPr>
        <w:t>至线</w:t>
      </w:r>
      <w:r>
        <w:rPr>
          <w:rFonts w:cs="宋体" w:asciiTheme="minorEastAsia" w:hAnsiTheme="minorEastAsia" w:eastAsiaTheme="minorEastAsia"/>
          <w:color w:val="auto"/>
          <w:sz w:val="28"/>
          <w:szCs w:val="21"/>
        </w:rPr>
        <w:t>中标注）。道路平面宽度不规则的路段原则按车道平均分配划线。（车道尺寸与虚线间距离单位为米，标线、导向箭头和路面文字厚度为1.8mm）。</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敷设标线的路面表面应清洁干燥，在水泥砼或旧沥青路面敷设标线时，需要预涂底油，水泥砼和沥青路面的下涂剂不能混用。</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二、交通标志</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标志颜色以国际为准，指示、指路标志采用蓝底白色图案。文字指示标志</w:t>
      </w:r>
      <w:r>
        <w:rPr>
          <w:rFonts w:cs="宋体" w:asciiTheme="minorEastAsia" w:hAnsiTheme="minorEastAsia" w:eastAsiaTheme="minorEastAsia"/>
          <w:color w:val="auto"/>
          <w:sz w:val="28"/>
          <w:szCs w:val="21"/>
          <w:highlight w:val="none"/>
        </w:rPr>
        <w:t>中中</w:t>
      </w:r>
      <w:r>
        <w:rPr>
          <w:rFonts w:cs="宋体" w:asciiTheme="minorEastAsia" w:hAnsiTheme="minorEastAsia" w:eastAsiaTheme="minorEastAsia"/>
          <w:color w:val="auto"/>
          <w:sz w:val="28"/>
          <w:szCs w:val="21"/>
        </w:rPr>
        <w:t>英文字大小为2：1.标志面板反光材料采用三级反光膜。标志采用3mm厚铝合金作底板，铝合金板采用滑动</w:t>
      </w:r>
      <w:r>
        <w:rPr>
          <w:rFonts w:cs="宋体" w:asciiTheme="minorEastAsia" w:hAnsiTheme="minorEastAsia" w:eastAsiaTheme="minorEastAsia"/>
          <w:color w:val="auto"/>
          <w:sz w:val="28"/>
          <w:szCs w:val="21"/>
          <w:highlight w:val="none"/>
        </w:rPr>
        <w:t>铝槽</w:t>
      </w:r>
      <w:r>
        <w:rPr>
          <w:rFonts w:cs="宋体" w:asciiTheme="minorEastAsia" w:hAnsiTheme="minorEastAsia" w:eastAsiaTheme="minorEastAsia"/>
          <w:color w:val="auto"/>
          <w:sz w:val="28"/>
          <w:szCs w:val="21"/>
        </w:rPr>
        <w:t>加固，加固间距50cm。</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（1）材料质量要求</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铝合金板材化学成分，板材牌号、规格、力学性能（按GB5768-1999要求抗拉性强度应不小于289.3MPa，屈服点不小于241.2MPa，延伸率不小于4%-10%。）应符合GB/T3190、GB/T3880、GB/T3194的规定。</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w:t>
      </w:r>
      <w:r>
        <w:rPr>
          <w:rFonts w:cs="宋体" w:asciiTheme="minorEastAsia" w:hAnsiTheme="minorEastAsia" w:eastAsiaTheme="minorEastAsia"/>
          <w:color w:val="auto"/>
          <w:sz w:val="28"/>
          <w:szCs w:val="21"/>
          <w:highlight w:val="none"/>
        </w:rPr>
        <w:t>柱体</w:t>
      </w:r>
      <w:r>
        <w:rPr>
          <w:rFonts w:cs="宋体" w:asciiTheme="minorEastAsia" w:hAnsiTheme="minorEastAsia" w:eastAsiaTheme="minorEastAsia"/>
          <w:color w:val="auto"/>
          <w:sz w:val="28"/>
          <w:szCs w:val="21"/>
        </w:rPr>
        <w:t>材料要求（具体按设计图纸）</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柱体一般采用牌号为Q235的钢材（A3钢）制成。镀锌量、立柱、横梁不低于18um，紧固件不低于50um。</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（3）施工质量要求</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标志现场施工质量应达到（JTGF80-2004）的要求。基本要求如下：</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交通标志的制作应符合《道路交通标志和标线》（GB5768-1999）和《公路交通标志板》（JT/T279）的规定。</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反光膜应尽量可能减少拼接，任何标志的字符、图案不允许拼接，当标志板的长度或宽度、圆形标志的直径小于反光膜产品的最大宽度时，底膜不应具有拼接缝，当粘贴反光膜不可避免出现接缝时，应按反光膜产品的最大宽度进行拼装。</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标志柱、梁的金属构件镀层应均匀，颜色一致，不允许有流挂、滴瘤或交杂结块，镀件表面应无漏镀、缺铁等缺陷。</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（4）标志的支撑方式</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悬臂式标志杆（L杆）：L杆采用八角型钢管制作，是标牌的支持</w:t>
      </w:r>
      <w:r>
        <w:rPr>
          <w:rFonts w:cs="宋体" w:asciiTheme="minorEastAsia" w:hAnsiTheme="minorEastAsia" w:eastAsiaTheme="minorEastAsia"/>
          <w:color w:val="auto"/>
          <w:sz w:val="28"/>
          <w:szCs w:val="21"/>
          <w:highlight w:val="none"/>
        </w:rPr>
        <w:t>构件</w:t>
      </w:r>
      <w:r>
        <w:rPr>
          <w:rFonts w:cs="宋体" w:asciiTheme="minorEastAsia" w:hAnsiTheme="minorEastAsia" w:eastAsiaTheme="minorEastAsia"/>
          <w:color w:val="auto"/>
          <w:sz w:val="28"/>
          <w:szCs w:val="21"/>
        </w:rPr>
        <w:t>。</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单立柱：单立柱主要支持小型标志。因支持牌面大小的不同，单立柱有所区别，支持1.5平方米以上的单立柱采用φ89mm钢管制作，支持1.5平方米以下的单立柱采用φ76mm的钢管制作。</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双立柱：支持4平方米以下标志的双立柱采用φ76mm的钢管制作，支持4平方米以上标志的双立柱采用φ89mm的钢管制作。</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（5）材料的防锈处理各类交通设施标志的杆件、螺栓、螺母均应进行热镀锌处理，立柱、杆件等的钻孔、冲孔和车间焊接，应在钢材进行表面防腐处理之前完成。热镀锌干燥后，</w:t>
      </w:r>
      <w:r>
        <w:rPr>
          <w:rFonts w:cs="宋体" w:asciiTheme="minorEastAsia" w:hAnsiTheme="minorEastAsia" w:eastAsiaTheme="minorEastAsia"/>
          <w:color w:val="auto"/>
          <w:sz w:val="28"/>
          <w:szCs w:val="21"/>
          <w:highlight w:val="none"/>
        </w:rPr>
        <w:t>杆件再</w:t>
      </w:r>
      <w:r>
        <w:rPr>
          <w:rFonts w:cs="宋体" w:asciiTheme="minorEastAsia" w:hAnsiTheme="minorEastAsia" w:eastAsiaTheme="minorEastAsia"/>
          <w:color w:val="auto"/>
          <w:sz w:val="28"/>
          <w:szCs w:val="21"/>
        </w:rPr>
        <w:t>喷涂银灰色的环氧富锌漆3度。为防盗需要螺栓安装完毕应点焊。</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施工涉及信号或其他带电设施的，应先行联系相关区辖交警队设施管线维护单位到场检查，确定原信号设施和管线状况。原信号设施和管线处于正常运作状态的，后续施工期间应做好管线安全防护，确保信号设施正常运作；涉及信号灯管线迁改的，应提前向交警支</w:t>
      </w:r>
      <w:r>
        <w:rPr>
          <w:rFonts w:hint="eastAsia" w:cs="宋体" w:asciiTheme="minorEastAsia" w:hAnsiTheme="minorEastAsia" w:eastAsiaTheme="minorEastAsia"/>
          <w:color w:val="auto"/>
          <w:sz w:val="28"/>
          <w:szCs w:val="21"/>
          <w:highlight w:val="none"/>
          <w:lang w:eastAsia="zh-CN"/>
        </w:rPr>
        <w:t>队</w:t>
      </w:r>
      <w:r>
        <w:rPr>
          <w:rFonts w:cs="宋体" w:asciiTheme="minorEastAsia" w:hAnsiTheme="minorEastAsia" w:eastAsiaTheme="minorEastAsia"/>
          <w:color w:val="auto"/>
          <w:sz w:val="28"/>
          <w:szCs w:val="21"/>
        </w:rPr>
        <w:t>报备，并保证施工期间信号灯正常运作，施工完毕后原状恢复；施工前未通知交警支队维护单位现场确认的，不得进场施工。</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施工方应提前与道路养护单位沟通协调，确定施工路段养护责任划分，并设置养护分界牌，避免后续责任不清；施工期间迁移或新设的信号灯等交通设施由施工单位负责维护，施工期间应做好相关设施养护，避免出现安全、疏导措施失效等情况。</w:t>
      </w:r>
    </w:p>
    <w:p>
      <w:pPr>
        <w:ind w:firstLine="565"/>
        <w:rPr>
          <w:rFonts w:cs="宋体" w:asciiTheme="minorEastAsia" w:hAnsiTheme="minorEastAsia" w:eastAsiaTheme="minorEastAsia"/>
          <w:color w:val="auto"/>
          <w:sz w:val="28"/>
          <w:szCs w:val="21"/>
        </w:rPr>
        <w:sectPr>
          <w:headerReference r:id="rId8" w:type="default"/>
          <w:footerReference r:id="rId9" w:type="default"/>
          <w:pgSz w:w="11906" w:h="16838"/>
          <w:pgMar w:top="1440" w:right="1080" w:bottom="1440" w:left="1080" w:header="851" w:footer="992" w:gutter="567"/>
          <w:pgBorders>
            <w:top w:val="none" w:sz="0" w:space="0"/>
            <w:left w:val="none" w:sz="0" w:space="0"/>
            <w:bottom w:val="none" w:sz="0" w:space="0"/>
            <w:right w:val="none" w:sz="0" w:space="0"/>
          </w:pgBorders>
          <w:pgNumType w:fmt="decimal" w:start="1"/>
          <w:cols w:space="425" w:num="1"/>
          <w:docGrid w:type="linesAndChars" w:linePitch="388" w:charSpace="526"/>
        </w:sectPr>
      </w:pPr>
      <w:r>
        <w:rPr>
          <w:rFonts w:cs="宋体" w:asciiTheme="minorEastAsia" w:hAnsiTheme="minorEastAsia" w:eastAsiaTheme="minorEastAsia"/>
          <w:color w:val="auto"/>
          <w:sz w:val="28"/>
          <w:szCs w:val="21"/>
        </w:rPr>
        <w:t>施工期间加强现场安全防护管理，敦促施工单位依法依规落实交通安全防护措施；针对施工路段发生重大伤亡交通事故的，公安部门将启动事故深度调查，一经查实施工现场作业控制区设施和相关安全防护措施不符合国家规范和标准，构成犯罪的，将依法追究建设单位和施工单位相关责任人刑事责任。</w:t>
      </w:r>
    </w:p>
    <w:p>
      <w:pPr>
        <w:pStyle w:val="38"/>
        <w:numPr>
          <w:ilvl w:val="0"/>
          <w:numId w:val="9"/>
        </w:numPr>
        <w:rPr>
          <w:rFonts w:cs="宋体"/>
          <w:color w:val="auto"/>
          <w:sz w:val="32"/>
          <w:szCs w:val="40"/>
        </w:rPr>
      </w:pPr>
      <w:bookmarkStart w:id="110" w:name="_Toc32142"/>
      <w:bookmarkStart w:id="111" w:name="_Toc14866"/>
      <w:bookmarkStart w:id="112" w:name="_Toc1768"/>
      <w:bookmarkStart w:id="113" w:name="_Toc3294"/>
      <w:r>
        <w:rPr>
          <w:rFonts w:cs="宋体"/>
          <w:color w:val="auto"/>
          <w:sz w:val="32"/>
          <w:szCs w:val="40"/>
        </w:rPr>
        <w:t>环境保护</w:t>
      </w:r>
      <w:bookmarkEnd w:id="110"/>
      <w:bookmarkEnd w:id="111"/>
    </w:p>
    <w:p>
      <w:pPr>
        <w:pStyle w:val="39"/>
        <w:numPr>
          <w:ilvl w:val="1"/>
          <w:numId w:val="9"/>
        </w:numPr>
        <w:rPr>
          <w:rFonts w:hint="eastAsia" w:ascii="Times New Roman" w:hAnsi="Times New Roman" w:eastAsia="宋体" w:cs="Times New Roman"/>
          <w:b/>
          <w:bCs/>
          <w:color w:val="auto"/>
        </w:rPr>
      </w:pPr>
      <w:bookmarkStart w:id="114" w:name="_Toc17147"/>
      <w:bookmarkStart w:id="115" w:name="_Toc30936"/>
      <w:bookmarkStart w:id="116" w:name="_Toc25257"/>
      <w:bookmarkStart w:id="117" w:name="_Toc25038"/>
      <w:bookmarkStart w:id="118" w:name="_Toc21227"/>
      <w:bookmarkStart w:id="119" w:name="_Toc11272"/>
      <w:r>
        <w:rPr>
          <w:rFonts w:hint="eastAsia" w:ascii="Times New Roman" w:hAnsi="Times New Roman" w:eastAsia="宋体" w:cs="Times New Roman"/>
          <w:b/>
          <w:bCs/>
          <w:color w:val="auto"/>
        </w:rPr>
        <w:t>环境</w:t>
      </w:r>
      <w:bookmarkEnd w:id="114"/>
      <w:r>
        <w:rPr>
          <w:rFonts w:hint="eastAsia" w:ascii="Times New Roman" w:hAnsi="Times New Roman" w:eastAsia="宋体" w:cs="Times New Roman"/>
          <w:b/>
          <w:bCs/>
          <w:color w:val="auto"/>
          <w:lang w:eastAsia="zh-CN"/>
        </w:rPr>
        <w:t>敏感区分析</w:t>
      </w:r>
      <w:bookmarkEnd w:id="115"/>
      <w:bookmarkEnd w:id="116"/>
      <w:bookmarkEnd w:id="117"/>
      <w:bookmarkEnd w:id="118"/>
    </w:p>
    <w:p>
      <w:pPr>
        <w:rPr>
          <w:rFonts w:hint="eastAsia" w:ascii="宋体" w:hAnsi="宋体"/>
          <w:color w:val="auto"/>
          <w:lang w:eastAsia="zh-CN"/>
        </w:rPr>
      </w:pPr>
      <w:r>
        <w:rPr>
          <w:rFonts w:hint="eastAsia"/>
          <w:color w:val="auto"/>
          <w:lang w:val="en-US" w:eastAsia="zh-CN"/>
        </w:rPr>
        <w:t>本方案编制所涉及范围</w:t>
      </w:r>
      <w:r>
        <w:rPr>
          <w:rFonts w:hint="eastAsia"/>
          <w:color w:val="auto"/>
          <w:lang w:eastAsia="zh-CN"/>
        </w:rPr>
        <w:t>位于从化区江埔街</w:t>
      </w:r>
      <w:r>
        <w:rPr>
          <w:rFonts w:hint="eastAsia"/>
          <w:color w:val="auto"/>
          <w:lang w:val="en-US" w:eastAsia="zh-CN"/>
        </w:rPr>
        <w:t>Y523</w:t>
      </w:r>
      <w:r>
        <w:rPr>
          <w:rFonts w:hint="eastAsia"/>
          <w:color w:val="auto"/>
          <w:lang w:eastAsia="zh-CN"/>
        </w:rPr>
        <w:t>片区</w:t>
      </w:r>
      <w:r>
        <w:rPr>
          <w:rFonts w:hint="eastAsia" w:ascii="宋体" w:hAnsi="宋体"/>
          <w:color w:val="auto"/>
          <w:lang w:eastAsia="zh-CN"/>
        </w:rPr>
        <w:t>。</w:t>
      </w:r>
    </w:p>
    <w:p>
      <w:pPr>
        <w:pStyle w:val="39"/>
        <w:numPr>
          <w:ilvl w:val="2"/>
          <w:numId w:val="9"/>
        </w:numPr>
        <w:rPr>
          <w:rFonts w:hint="eastAsia" w:ascii="Times New Roman" w:hAnsi="Times New Roman" w:eastAsia="宋体" w:cs="Times New Roman"/>
          <w:b/>
          <w:bCs/>
          <w:color w:val="auto"/>
          <w:szCs w:val="28"/>
        </w:rPr>
      </w:pPr>
      <w:bookmarkStart w:id="120" w:name="_Toc29012"/>
      <w:bookmarkStart w:id="121" w:name="_Toc5748"/>
      <w:r>
        <w:rPr>
          <w:rFonts w:hint="eastAsia" w:ascii="Times New Roman" w:hAnsi="Times New Roman" w:eastAsia="宋体" w:cs="Times New Roman"/>
          <w:b/>
          <w:bCs/>
          <w:color w:val="auto"/>
          <w:szCs w:val="28"/>
          <w:lang w:eastAsia="zh-CN"/>
        </w:rPr>
        <w:t>饮用水源保护区</w:t>
      </w:r>
      <w:bookmarkEnd w:id="120"/>
      <w:bookmarkEnd w:id="121"/>
    </w:p>
    <w:p>
      <w:pPr>
        <w:rPr>
          <w:rFonts w:hint="eastAsia" w:ascii="宋体" w:hAnsi="宋体"/>
          <w:color w:val="auto"/>
          <w:highlight w:val="none"/>
          <w:lang w:eastAsia="zh-CN"/>
        </w:rPr>
      </w:pPr>
      <w:r>
        <w:rPr>
          <w:rFonts w:hint="eastAsia" w:ascii="宋体" w:hAnsi="宋体"/>
          <w:color w:val="auto"/>
          <w:highlight w:val="none"/>
          <w:lang w:eastAsia="zh-CN"/>
        </w:rPr>
        <w:t>根据《广州市城市环境总体规划（2014-2030年）》（2016年7月）的相关要求，涉饮用水源保护管控区主要位于流溪河、沙湾水道，增江等河段及两侧，承担水源保护功能。以保障饮用水安全为本，禁止影响安全供水的开发建设行为，规范饮用水源地保护。</w:t>
      </w:r>
    </w:p>
    <w:p>
      <w:pPr>
        <w:rPr>
          <w:rFonts w:hint="eastAsia" w:ascii="宋体" w:hAnsi="宋体"/>
          <w:color w:val="auto"/>
          <w:highlight w:val="none"/>
          <w:lang w:eastAsia="zh-CN"/>
        </w:rPr>
      </w:pPr>
      <w:r>
        <w:rPr>
          <w:rFonts w:hint="eastAsia" w:ascii="宋体" w:hAnsi="宋体"/>
          <w:color w:val="auto"/>
          <w:highlight w:val="none"/>
          <w:lang w:eastAsia="zh-CN"/>
        </w:rPr>
        <w:t>对二级保护区，禁止一切破坏水环境生态平衡的活动以及破坏水源涵养林、护岸林、与水源保护相关植被的活动。禁止向水域倾倒工业废渣、城市垃圾、粪便及其他废弃物。禁止运输有毒有害物质、油类、粪便的车辆进入保护区，确需进入的，应当事先申请，经有关部门批准、登记，并设置防渗、防溢、防漏设施。禁止使用剧毒和高残留农药，不得滥用化肥，不得使用炸药、毒品捕杀鱼类。禁止设置排污口。禁止建设畜禽养殖场和养殖小区。禁止新（改、扩）建排放污染物的建设项目，已建成的依法责令限期拆除或关闭。</w:t>
      </w:r>
    </w:p>
    <w:p>
      <w:pPr>
        <w:spacing w:beforeLines="0" w:afterLines="0"/>
        <w:jc w:val="left"/>
        <w:rPr>
          <w:rFonts w:hint="eastAsia" w:ascii="宋体" w:hAnsi="宋体" w:eastAsia="宋体"/>
          <w:color w:val="auto"/>
          <w:sz w:val="24"/>
          <w:szCs w:val="24"/>
          <w:highlight w:val="none"/>
        </w:rPr>
      </w:pPr>
      <w:r>
        <w:rPr>
          <w:rFonts w:hint="eastAsia" w:ascii="宋体" w:hAnsi="宋体" w:eastAsia="宋体"/>
          <w:color w:val="auto"/>
          <w:sz w:val="24"/>
          <w:szCs w:val="24"/>
          <w:highlight w:val="none"/>
        </w:rPr>
        <w:t>经核实，本工程服务范围与</w:t>
      </w:r>
      <w:r>
        <w:rPr>
          <w:rFonts w:hint="eastAsia" w:ascii="宋体" w:hAnsi="宋体" w:eastAsia="宋体"/>
          <w:color w:val="auto"/>
          <w:sz w:val="24"/>
          <w:szCs w:val="24"/>
          <w:highlight w:val="none"/>
          <w:lang w:eastAsia="zh-CN"/>
        </w:rPr>
        <w:t>饮用水源保护区</w:t>
      </w:r>
      <w:r>
        <w:rPr>
          <w:rFonts w:hint="eastAsia" w:ascii="宋体" w:hAnsi="宋体"/>
          <w:color w:val="auto"/>
          <w:sz w:val="24"/>
          <w:szCs w:val="24"/>
          <w:highlight w:val="none"/>
          <w:lang w:eastAsia="zh-CN"/>
        </w:rPr>
        <w:t>不</w:t>
      </w:r>
      <w:r>
        <w:rPr>
          <w:rFonts w:hint="eastAsia" w:ascii="宋体" w:hAnsi="宋体" w:eastAsia="宋体"/>
          <w:color w:val="auto"/>
          <w:sz w:val="24"/>
          <w:szCs w:val="24"/>
          <w:highlight w:val="none"/>
        </w:rPr>
        <w:t>存在叠加。</w:t>
      </w:r>
    </w:p>
    <w:p>
      <w:pPr>
        <w:pStyle w:val="12"/>
        <w:jc w:val="center"/>
        <w:rPr>
          <w:rFonts w:hint="eastAsia"/>
          <w:color w:val="auto"/>
          <w:lang w:eastAsia="zh-CN"/>
        </w:rPr>
      </w:pPr>
      <w:r>
        <w:rPr>
          <w:color w:val="auto"/>
          <w:sz w:val="24"/>
        </w:rPr>
        <mc:AlternateContent>
          <mc:Choice Requires="wps">
            <w:drawing>
              <wp:anchor distT="0" distB="0" distL="114300" distR="114300" simplePos="0" relativeHeight="251675648" behindDoc="0" locked="0" layoutInCell="1" allowOverlap="1">
                <wp:simplePos x="0" y="0"/>
                <wp:positionH relativeFrom="column">
                  <wp:posOffset>2287270</wp:posOffset>
                </wp:positionH>
                <wp:positionV relativeFrom="paragraph">
                  <wp:posOffset>2677160</wp:posOffset>
                </wp:positionV>
                <wp:extent cx="1054100" cy="371475"/>
                <wp:effectExtent l="7620" t="859155" r="347980" b="7620"/>
                <wp:wrapNone/>
                <wp:docPr id="12" name="矩形标注 12"/>
                <wp:cNvGraphicFramePr/>
                <a:graphic xmlns:a="http://schemas.openxmlformats.org/drawingml/2006/main">
                  <a:graphicData uri="http://schemas.microsoft.com/office/word/2010/wordprocessingShape">
                    <wps:wsp>
                      <wps:cNvSpPr/>
                      <wps:spPr>
                        <a:xfrm>
                          <a:off x="0" y="0"/>
                          <a:ext cx="1054100" cy="371475"/>
                        </a:xfrm>
                        <a:prstGeom prst="wedgeRectCallout">
                          <a:avLst>
                            <a:gd name="adj1" fmla="val 78373"/>
                            <a:gd name="adj2" fmla="val -267264"/>
                          </a:avLst>
                        </a:prstGeom>
                        <a:solidFill>
                          <a:srgbClr val="FFFFFF"/>
                        </a:solidFill>
                        <a:ln w="15875" cap="flat" cmpd="sng">
                          <a:solidFill>
                            <a:srgbClr val="000000"/>
                          </a:solidFill>
                          <a:prstDash val="solid"/>
                          <a:miter/>
                          <a:headEnd type="none" w="med" len="med"/>
                          <a:tailEnd type="none" w="med" len="med"/>
                        </a:ln>
                      </wps:spPr>
                      <wps:txbx>
                        <w:txbxContent>
                          <w:p>
                            <w:pPr>
                              <w:spacing w:line="240" w:lineRule="auto"/>
                              <w:ind w:left="0" w:leftChars="0" w:firstLine="0" w:firstLineChars="0"/>
                              <w:jc w:val="left"/>
                              <w:rPr>
                                <w:rFonts w:hint="default" w:eastAsia="宋体"/>
                                <w:lang w:val="en-US" w:eastAsia="zh-CN"/>
                              </w:rPr>
                            </w:pPr>
                            <w:r>
                              <w:rPr>
                                <w:rFonts w:hint="eastAsia"/>
                                <w:lang w:val="en-US" w:eastAsia="zh-CN"/>
                              </w:rPr>
                              <w:t>工程位置</w:t>
                            </w:r>
                          </w:p>
                        </w:txbxContent>
                      </wps:txbx>
                      <wps:bodyPr upright="1"/>
                    </wps:wsp>
                  </a:graphicData>
                </a:graphic>
              </wp:anchor>
            </w:drawing>
          </mc:Choice>
          <mc:Fallback>
            <w:pict>
              <v:shape id="_x0000_s1026" o:spid="_x0000_s1026" o:spt="61" type="#_x0000_t61" style="position:absolute;left:0pt;margin-left:180.1pt;margin-top:210.8pt;height:29.25pt;width:83pt;z-index:251675648;mso-width-relative:page;mso-height-relative:page;" fillcolor="#FFFFFF" filled="t" stroked="t" coordsize="21600,21600" o:gfxdata="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etg+udcAAAALAQAADwAAAAAAAAABACAAAAAiAAAAZHJzL2Rv&#10;d25yZXYueG1sUEsBAhQAFAAAAAgAh07iQAqtmwc7AgAAkQQAAA4AAAAAAAAAAQAgAAAAJgEAAGRy&#10;cy9lMm9Eb2MueG1sUEsFBgAAAAAGAAYAWQEAANMFAAAAAA==&#10;" adj="27729,-46929">
                <v:fill on="t" focussize="0,0"/>
                <v:stroke weight="1.25pt" color="#000000" joinstyle="miter"/>
                <v:imagedata o:title=""/>
                <o:lock v:ext="edit" aspectratio="f"/>
                <v:textbox>
                  <w:txbxContent>
                    <w:p>
                      <w:pPr>
                        <w:spacing w:line="240" w:lineRule="auto"/>
                        <w:ind w:left="0" w:leftChars="0" w:firstLine="0" w:firstLineChars="0"/>
                        <w:jc w:val="left"/>
                        <w:rPr>
                          <w:rFonts w:hint="default" w:eastAsia="宋体"/>
                          <w:lang w:val="en-US" w:eastAsia="zh-CN"/>
                        </w:rPr>
                      </w:pPr>
                      <w:r>
                        <w:rPr>
                          <w:rFonts w:hint="eastAsia"/>
                          <w:lang w:val="en-US" w:eastAsia="zh-CN"/>
                        </w:rPr>
                        <w:t>工程位置</w:t>
                      </w:r>
                    </w:p>
                  </w:txbxContent>
                </v:textbox>
              </v:shape>
            </w:pict>
          </mc:Fallback>
        </mc:AlternateContent>
      </w:r>
      <w:r>
        <w:rPr>
          <w:color w:val="auto"/>
          <w:sz w:val="24"/>
        </w:rPr>
        <mc:AlternateContent>
          <mc:Choice Requires="wps">
            <w:drawing>
              <wp:anchor distT="0" distB="0" distL="114300" distR="114300" simplePos="0" relativeHeight="251676672" behindDoc="0" locked="0" layoutInCell="1" allowOverlap="1">
                <wp:simplePos x="0" y="0"/>
                <wp:positionH relativeFrom="column">
                  <wp:posOffset>3510280</wp:posOffset>
                </wp:positionH>
                <wp:positionV relativeFrom="paragraph">
                  <wp:posOffset>1729740</wp:posOffset>
                </wp:positionV>
                <wp:extent cx="293370" cy="293370"/>
                <wp:effectExtent l="7620" t="7620" r="22860" b="22860"/>
                <wp:wrapNone/>
                <wp:docPr id="89" name="椭圆 89"/>
                <wp:cNvGraphicFramePr/>
                <a:graphic xmlns:a="http://schemas.openxmlformats.org/drawingml/2006/main">
                  <a:graphicData uri="http://schemas.microsoft.com/office/word/2010/wordprocessingShape">
                    <wps:wsp>
                      <wps:cNvSpPr/>
                      <wps:spPr>
                        <a:xfrm>
                          <a:off x="0" y="0"/>
                          <a:ext cx="293370" cy="293370"/>
                        </a:xfrm>
                        <a:prstGeom prst="ellipse">
                          <a:avLst/>
                        </a:prstGeom>
                        <a:solidFill>
                          <a:srgbClr val="D9D9D9">
                            <a:alpha val="75000"/>
                          </a:srgbClr>
                        </a:solidFill>
                        <a:ln w="15875" cap="flat" cmpd="sng">
                          <a:solidFill>
                            <a:srgbClr val="BFBFBF"/>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276.4pt;margin-top:136.2pt;height:23.1pt;width:23.1pt;z-index:251676672;mso-width-relative:page;mso-height-relative:page;" fillcolor="#D9D9D9" filled="t" stroked="t" coordsize="21600,21600" o:gfxdata="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hLiayNkAAAALAQAADwAAAAAAAAABACAA&#10;AAAiAAAAZHJzL2Rvd25yZXYueG1sUEsBAhQAFAAAAAgAh07iQGiRJSkMAgAAOgQAAA4AAAAAAAAA&#10;AQAgAAAAKAEAAGRycy9lMm9Eb2MueG1sUEsFBgAAAAAGAAYAWQEAAKYFAAAAAA==&#10;">
                <v:fill on="t" opacity="49152f" focussize="0,0"/>
                <v:stroke weight="1.25pt" color="#BFBFBF" joinstyle="round"/>
                <v:imagedata o:title=""/>
                <o:lock v:ext="edit" aspectratio="f"/>
              </v:shape>
            </w:pict>
          </mc:Fallback>
        </mc:AlternateContent>
      </w:r>
      <w:r>
        <w:rPr>
          <w:color w:val="auto"/>
        </w:rPr>
        <w:drawing>
          <wp:inline distT="0" distB="0" distL="114300" distR="114300">
            <wp:extent cx="4410075" cy="2819400"/>
            <wp:effectExtent l="0" t="0" r="9525" b="0"/>
            <wp:docPr id="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5"/>
                    <pic:cNvPicPr>
                      <a:picLocks noChangeAspect="1"/>
                    </pic:cNvPicPr>
                  </pic:nvPicPr>
                  <pic:blipFill>
                    <a:blip r:embed="rId89"/>
                    <a:stretch>
                      <a:fillRect/>
                    </a:stretch>
                  </pic:blipFill>
                  <pic:spPr>
                    <a:xfrm>
                      <a:off x="0" y="0"/>
                      <a:ext cx="4410075" cy="2819400"/>
                    </a:xfrm>
                    <a:prstGeom prst="rect">
                      <a:avLst/>
                    </a:prstGeom>
                    <a:noFill/>
                    <a:ln>
                      <a:noFill/>
                    </a:ln>
                  </pic:spPr>
                </pic:pic>
              </a:graphicData>
            </a:graphic>
          </wp:inline>
        </w:drawing>
      </w:r>
    </w:p>
    <w:p>
      <w:pPr>
        <w:pStyle w:val="44"/>
        <w:numPr>
          <w:ilvl w:val="8"/>
          <w:numId w:val="30"/>
        </w:numPr>
        <w:bidi w:val="0"/>
        <w:jc w:val="center"/>
        <w:rPr>
          <w:rFonts w:hint="eastAsia"/>
          <w:color w:val="auto"/>
        </w:rPr>
      </w:pPr>
      <w:r>
        <w:rPr>
          <w:rFonts w:hint="eastAsia"/>
          <w:color w:val="auto"/>
          <w:lang w:eastAsia="zh-CN"/>
        </w:rPr>
        <w:t>饮用水源保护区</w:t>
      </w:r>
      <w:r>
        <w:rPr>
          <w:rFonts w:hint="eastAsia"/>
          <w:color w:val="auto"/>
        </w:rPr>
        <w:t>图</w:t>
      </w:r>
    </w:p>
    <w:p>
      <w:pPr>
        <w:pStyle w:val="39"/>
        <w:numPr>
          <w:ilvl w:val="2"/>
          <w:numId w:val="9"/>
        </w:numPr>
        <w:rPr>
          <w:rFonts w:hint="eastAsia" w:ascii="Times New Roman" w:hAnsi="Times New Roman" w:eastAsia="宋体" w:cs="Times New Roman"/>
          <w:b/>
          <w:bCs/>
          <w:color w:val="auto"/>
          <w:szCs w:val="28"/>
          <w:lang w:eastAsia="zh-CN"/>
        </w:rPr>
      </w:pPr>
      <w:bookmarkStart w:id="122" w:name="_Toc11659"/>
      <w:bookmarkStart w:id="123" w:name="_Toc23890"/>
      <w:r>
        <w:rPr>
          <w:rFonts w:hint="eastAsia" w:ascii="Times New Roman" w:hAnsi="Times New Roman" w:eastAsia="宋体" w:cs="Times New Roman"/>
          <w:b/>
          <w:bCs/>
          <w:color w:val="auto"/>
          <w:szCs w:val="28"/>
          <w:lang w:eastAsia="zh-CN"/>
        </w:rPr>
        <w:t>环境空间管控区</w:t>
      </w:r>
      <w:bookmarkEnd w:id="122"/>
      <w:bookmarkEnd w:id="123"/>
    </w:p>
    <w:p>
      <w:pPr>
        <w:spacing w:beforeLines="0" w:afterLines="0"/>
        <w:ind w:left="0" w:leftChars="0" w:firstLine="484" w:firstLineChars="200"/>
        <w:jc w:val="left"/>
        <w:rPr>
          <w:rFonts w:hint="eastAsia" w:ascii="宋体" w:hAnsi="宋体" w:eastAsia="宋体"/>
          <w:color w:val="auto"/>
          <w:sz w:val="24"/>
          <w:szCs w:val="24"/>
          <w:lang w:eastAsia="zh-CN"/>
        </w:rPr>
      </w:pPr>
      <w:r>
        <w:rPr>
          <w:rFonts w:hint="eastAsia" w:ascii="宋体" w:hAnsi="宋体" w:eastAsia="宋体"/>
          <w:color w:val="auto"/>
          <w:sz w:val="24"/>
          <w:szCs w:val="24"/>
        </w:rPr>
        <w:t>本项目</w:t>
      </w:r>
      <w:r>
        <w:rPr>
          <w:rFonts w:hint="eastAsia" w:ascii="宋体" w:hAnsi="宋体" w:eastAsia="宋体"/>
          <w:color w:val="auto"/>
          <w:sz w:val="24"/>
          <w:szCs w:val="24"/>
          <w:lang w:eastAsia="zh-CN"/>
        </w:rPr>
        <w:t>设计</w:t>
      </w:r>
      <w:r>
        <w:rPr>
          <w:rFonts w:hint="eastAsia" w:ascii="宋体" w:hAnsi="宋体" w:eastAsia="宋体"/>
          <w:color w:val="auto"/>
          <w:sz w:val="24"/>
          <w:szCs w:val="24"/>
        </w:rPr>
        <w:t>范围与</w:t>
      </w:r>
      <w:r>
        <w:rPr>
          <w:rFonts w:hint="eastAsia" w:ascii="宋体" w:hAnsi="宋体" w:eastAsia="宋体"/>
          <w:color w:val="auto"/>
          <w:sz w:val="24"/>
          <w:szCs w:val="24"/>
          <w:lang w:eastAsia="zh-CN"/>
        </w:rPr>
        <w:t>珍稀水生生物</w:t>
      </w:r>
      <w:r>
        <w:rPr>
          <w:rFonts w:hint="eastAsia" w:ascii="宋体" w:hAnsi="宋体" w:eastAsia="宋体"/>
          <w:color w:val="auto"/>
          <w:sz w:val="24"/>
          <w:szCs w:val="24"/>
        </w:rPr>
        <w:t>环境空间管控区范围叠加，拟建管道位置位于</w:t>
      </w:r>
      <w:r>
        <w:rPr>
          <w:rFonts w:hint="eastAsia" w:ascii="宋体" w:hAnsi="宋体" w:eastAsia="宋体"/>
          <w:color w:val="auto"/>
          <w:sz w:val="24"/>
          <w:szCs w:val="24"/>
          <w:lang w:eastAsia="zh-CN"/>
        </w:rPr>
        <w:t>珍稀水生生物</w:t>
      </w:r>
      <w:r>
        <w:rPr>
          <w:rFonts w:hint="eastAsia" w:ascii="宋体" w:hAnsi="宋体" w:eastAsia="宋体"/>
          <w:color w:val="auto"/>
          <w:sz w:val="24"/>
          <w:szCs w:val="24"/>
        </w:rPr>
        <w:t>环境空间管控区内</w:t>
      </w:r>
      <w:r>
        <w:rPr>
          <w:rFonts w:hint="eastAsia" w:ascii="宋体" w:hAnsi="宋体" w:eastAsia="宋体"/>
          <w:color w:val="auto"/>
          <w:sz w:val="24"/>
          <w:szCs w:val="24"/>
          <w:lang w:eastAsia="zh-CN"/>
        </w:rPr>
        <w:t>。</w:t>
      </w:r>
    </w:p>
    <w:p>
      <w:pPr>
        <w:spacing w:beforeLines="0" w:afterLines="0"/>
        <w:ind w:left="0" w:leftChars="0" w:firstLine="484" w:firstLineChars="200"/>
        <w:jc w:val="left"/>
        <w:rPr>
          <w:rFonts w:hint="eastAsia" w:ascii="宋体" w:hAnsi="宋体" w:eastAsia="宋体"/>
          <w:color w:val="auto"/>
          <w:sz w:val="24"/>
          <w:szCs w:val="24"/>
          <w:lang w:eastAsia="zh-CN"/>
        </w:rPr>
      </w:pPr>
      <w:r>
        <w:rPr>
          <w:rFonts w:hint="eastAsia" w:ascii="宋体" w:hAnsi="宋体" w:eastAsia="宋体"/>
          <w:color w:val="auto"/>
          <w:sz w:val="24"/>
          <w:szCs w:val="24"/>
          <w:lang w:eastAsia="zh-CN"/>
        </w:rPr>
        <w:t>根据《广州市城市环境总体规划（2014-2030年）》（2016年7月）的相关要求，涉水生生物保护管控区，主要包括花都天马河、流溪河鹅公头一李溪坝、从化小海河、增江龙门城下一增城磨刀坑等河段两侧区域，具体包括增城兰溪河珍稀水生动物自然保护区，从化温泉自然保护区、从化唐鱼自然保护区等。切实保护野生动植物及其栖息环境，严格限制新设排污口，加强温排水总量控制，关闭直接影响珍稀水生生物保护的排污口，严格控制网箱养殖活动。温泉地热资源丰富的地区要进行合理开发，禁止污染水体的旅游开发项目。</w:t>
      </w:r>
    </w:p>
    <w:p>
      <w:pPr>
        <w:spacing w:beforeLines="0" w:afterLines="0"/>
        <w:jc w:val="left"/>
        <w:rPr>
          <w:rFonts w:hint="eastAsia" w:ascii="宋体" w:hAnsi="宋体" w:eastAsia="宋体"/>
          <w:color w:val="auto"/>
          <w:sz w:val="24"/>
          <w:szCs w:val="24"/>
        </w:rPr>
      </w:pPr>
      <w:r>
        <w:rPr>
          <w:rFonts w:hint="eastAsia" w:ascii="宋体" w:hAnsi="宋体" w:eastAsia="宋体"/>
          <w:color w:val="auto"/>
          <w:sz w:val="24"/>
          <w:szCs w:val="24"/>
        </w:rPr>
        <w:t>根据上述要求，本项目新建内容均不属于禁止开展的项目内。符合上述规划中对</w:t>
      </w:r>
      <w:r>
        <w:rPr>
          <w:rFonts w:hint="eastAsia" w:ascii="宋体" w:hAnsi="宋体" w:eastAsia="宋体"/>
          <w:color w:val="auto"/>
          <w:sz w:val="24"/>
          <w:szCs w:val="24"/>
          <w:lang w:eastAsia="zh-CN"/>
        </w:rPr>
        <w:t>珍稀水生生物</w:t>
      </w:r>
      <w:r>
        <w:rPr>
          <w:rFonts w:hint="eastAsia" w:ascii="宋体" w:hAnsi="宋体" w:eastAsia="宋体"/>
          <w:color w:val="auto"/>
          <w:sz w:val="24"/>
          <w:szCs w:val="24"/>
        </w:rPr>
        <w:t>环境空间管控区</w:t>
      </w:r>
      <w:r>
        <w:rPr>
          <w:rFonts w:hint="eastAsia" w:ascii="宋体" w:hAnsi="宋体" w:eastAsia="宋体"/>
          <w:color w:val="auto"/>
          <w:sz w:val="24"/>
          <w:szCs w:val="24"/>
          <w:lang w:eastAsia="zh-CN"/>
        </w:rPr>
        <w:t>保护的要求</w:t>
      </w:r>
      <w:r>
        <w:rPr>
          <w:rFonts w:hint="eastAsia" w:ascii="宋体" w:hAnsi="宋体" w:eastAsia="宋体"/>
          <w:color w:val="auto"/>
          <w:sz w:val="24"/>
          <w:szCs w:val="24"/>
        </w:rPr>
        <w:t>。</w:t>
      </w:r>
    </w:p>
    <w:p>
      <w:pPr>
        <w:spacing w:beforeLines="0" w:afterLines="0"/>
        <w:jc w:val="center"/>
        <w:rPr>
          <w:rFonts w:hint="eastAsia" w:ascii="宋体" w:hAnsi="宋体" w:eastAsia="宋体"/>
          <w:color w:val="auto"/>
          <w:sz w:val="24"/>
          <w:szCs w:val="24"/>
          <w:lang w:eastAsia="zh-CN"/>
        </w:rPr>
      </w:pPr>
      <w:r>
        <w:rPr>
          <w:color w:val="auto"/>
          <w:sz w:val="24"/>
        </w:rPr>
        <mc:AlternateContent>
          <mc:Choice Requires="wps">
            <w:drawing>
              <wp:anchor distT="0" distB="0" distL="114300" distR="114300" simplePos="0" relativeHeight="251669504" behindDoc="0" locked="0" layoutInCell="1" allowOverlap="1">
                <wp:simplePos x="0" y="0"/>
                <wp:positionH relativeFrom="column">
                  <wp:posOffset>3227705</wp:posOffset>
                </wp:positionH>
                <wp:positionV relativeFrom="paragraph">
                  <wp:posOffset>2439670</wp:posOffset>
                </wp:positionV>
                <wp:extent cx="388620" cy="388620"/>
                <wp:effectExtent l="7620" t="7620" r="22860" b="22860"/>
                <wp:wrapNone/>
                <wp:docPr id="94" name="椭圆 94"/>
                <wp:cNvGraphicFramePr/>
                <a:graphic xmlns:a="http://schemas.openxmlformats.org/drawingml/2006/main">
                  <a:graphicData uri="http://schemas.microsoft.com/office/word/2010/wordprocessingShape">
                    <wps:wsp>
                      <wps:cNvSpPr/>
                      <wps:spPr>
                        <a:xfrm>
                          <a:off x="0" y="0"/>
                          <a:ext cx="388620" cy="388620"/>
                        </a:xfrm>
                        <a:prstGeom prst="ellipse">
                          <a:avLst/>
                        </a:prstGeom>
                        <a:solidFill>
                          <a:srgbClr val="D9D9D9">
                            <a:alpha val="75000"/>
                          </a:srgbClr>
                        </a:solidFill>
                        <a:ln w="15875" cap="flat" cmpd="sng">
                          <a:solidFill>
                            <a:srgbClr val="BFBFBF"/>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254.15pt;margin-top:192.1pt;height:30.6pt;width:30.6pt;z-index:251669504;mso-width-relative:page;mso-height-relative:page;" fillcolor="#D9D9D9" filled="t" stroked="t" coordsize="21600,21600" o:gfxdata="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UlKq79kAAAALAQAADwAAAAAAAAABACAA&#10;AAAiAAAAZHJzL2Rvd25yZXYueG1sUEsBAhQAFAAAAAgAh07iQHQ0boAMAgAAOgQAAA4AAAAAAAAA&#10;AQAgAAAAKAEAAGRycy9lMm9Eb2MueG1sUEsFBgAAAAAGAAYAWQEAAKYFAAAAAA==&#10;">
                <v:fill on="t" opacity="49152f" focussize="0,0"/>
                <v:stroke weight="1.25pt" color="#BFBFBF" joinstyle="round"/>
                <v:imagedata o:title=""/>
                <o:lock v:ext="edit" aspectratio="f"/>
              </v:shape>
            </w:pict>
          </mc:Fallback>
        </mc:AlternateContent>
      </w:r>
      <w:r>
        <w:rPr>
          <w:color w:val="auto"/>
          <w:sz w:val="24"/>
        </w:rPr>
        <mc:AlternateContent>
          <mc:Choice Requires="wps">
            <w:drawing>
              <wp:anchor distT="0" distB="0" distL="114300" distR="114300" simplePos="0" relativeHeight="251670528" behindDoc="0" locked="0" layoutInCell="1" allowOverlap="1">
                <wp:simplePos x="0" y="0"/>
                <wp:positionH relativeFrom="column">
                  <wp:posOffset>2126615</wp:posOffset>
                </wp:positionH>
                <wp:positionV relativeFrom="paragraph">
                  <wp:posOffset>3436620</wp:posOffset>
                </wp:positionV>
                <wp:extent cx="1105535" cy="361950"/>
                <wp:effectExtent l="7620" t="793750" r="182245" b="25400"/>
                <wp:wrapNone/>
                <wp:docPr id="90" name="矩形标注 90"/>
                <wp:cNvGraphicFramePr/>
                <a:graphic xmlns:a="http://schemas.openxmlformats.org/drawingml/2006/main">
                  <a:graphicData uri="http://schemas.microsoft.com/office/word/2010/wordprocessingShape">
                    <wps:wsp>
                      <wps:cNvSpPr/>
                      <wps:spPr>
                        <a:xfrm>
                          <a:off x="0" y="0"/>
                          <a:ext cx="1105535" cy="361950"/>
                        </a:xfrm>
                        <a:prstGeom prst="wedgeRectCallout">
                          <a:avLst>
                            <a:gd name="adj1" fmla="val 62464"/>
                            <a:gd name="adj2" fmla="val -255263"/>
                          </a:avLst>
                        </a:prstGeom>
                        <a:noFill/>
                        <a:ln w="15875" cap="flat" cmpd="sng">
                          <a:solidFill>
                            <a:srgbClr val="000000"/>
                          </a:solidFill>
                          <a:prstDash val="solid"/>
                          <a:miter/>
                          <a:headEnd type="none" w="med" len="med"/>
                          <a:tailEnd type="none" w="med" len="med"/>
                        </a:ln>
                      </wps:spPr>
                      <wps:txbx>
                        <w:txbxContent>
                          <w:p>
                            <w:pPr>
                              <w:spacing w:line="240" w:lineRule="auto"/>
                              <w:ind w:left="0" w:leftChars="0" w:firstLine="0" w:firstLineChars="0"/>
                              <w:jc w:val="left"/>
                              <w:rPr>
                                <w:rFonts w:hint="default" w:eastAsia="宋体"/>
                                <w:lang w:val="en-US" w:eastAsia="zh-CN"/>
                              </w:rPr>
                            </w:pPr>
                            <w:r>
                              <w:rPr>
                                <w:rFonts w:hint="eastAsia"/>
                                <w:lang w:val="en-US" w:eastAsia="zh-CN"/>
                              </w:rPr>
                              <w:t>工程位置</w:t>
                            </w:r>
                          </w:p>
                        </w:txbxContent>
                      </wps:txbx>
                      <wps:bodyPr upright="1"/>
                    </wps:wsp>
                  </a:graphicData>
                </a:graphic>
              </wp:anchor>
            </w:drawing>
          </mc:Choice>
          <mc:Fallback>
            <w:pict>
              <v:shape id="_x0000_s1026" o:spid="_x0000_s1026" o:spt="61" type="#_x0000_t61" style="position:absolute;left:0pt;margin-left:167.45pt;margin-top:270.6pt;height:28.5pt;width:87.05pt;z-index:251670528;mso-width-relative:page;mso-height-relative:page;" filled="f" stroked="t" coordsize="21600,21600" o:gfxdata="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FDM4Y2wAAAAsBAAAPAAAAAAAAAAEAIAAAACIAAABkcnMvZG93&#10;bnJldi54bWxQSwECFAAUAAAACACHTuJAsYXlQzYCAABoBAAADgAAAAAAAAABACAAAAAqAQAAZHJz&#10;L2Uyb0RvYy54bWxQSwUGAAAAAAYABgBZAQAA0gUAAAAA&#10;" adj="24292,-44337">
                <v:fill on="f" focussize="0,0"/>
                <v:stroke weight="1.25pt" color="#000000" joinstyle="miter"/>
                <v:imagedata o:title=""/>
                <o:lock v:ext="edit" aspectratio="f"/>
                <v:textbox>
                  <w:txbxContent>
                    <w:p>
                      <w:pPr>
                        <w:spacing w:line="240" w:lineRule="auto"/>
                        <w:ind w:left="0" w:leftChars="0" w:firstLine="0" w:firstLineChars="0"/>
                        <w:jc w:val="left"/>
                        <w:rPr>
                          <w:rFonts w:hint="default" w:eastAsia="宋体"/>
                          <w:lang w:val="en-US" w:eastAsia="zh-CN"/>
                        </w:rPr>
                      </w:pPr>
                      <w:r>
                        <w:rPr>
                          <w:rFonts w:hint="eastAsia"/>
                          <w:lang w:val="en-US" w:eastAsia="zh-CN"/>
                        </w:rPr>
                        <w:t>工程位置</w:t>
                      </w:r>
                    </w:p>
                  </w:txbxContent>
                </v:textbox>
              </v:shape>
            </w:pict>
          </mc:Fallback>
        </mc:AlternateContent>
      </w:r>
      <w:r>
        <w:rPr>
          <w:color w:val="auto"/>
        </w:rPr>
        <w:drawing>
          <wp:inline distT="0" distB="0" distL="114300" distR="114300">
            <wp:extent cx="5498465" cy="4157345"/>
            <wp:effectExtent l="0" t="0" r="6985" b="14605"/>
            <wp:docPr id="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6"/>
                    <pic:cNvPicPr>
                      <a:picLocks noChangeAspect="1"/>
                    </pic:cNvPicPr>
                  </pic:nvPicPr>
                  <pic:blipFill>
                    <a:blip r:embed="rId90"/>
                    <a:stretch>
                      <a:fillRect/>
                    </a:stretch>
                  </pic:blipFill>
                  <pic:spPr>
                    <a:xfrm>
                      <a:off x="0" y="0"/>
                      <a:ext cx="5498465" cy="4157345"/>
                    </a:xfrm>
                    <a:prstGeom prst="rect">
                      <a:avLst/>
                    </a:prstGeom>
                    <a:noFill/>
                    <a:ln>
                      <a:noFill/>
                    </a:ln>
                  </pic:spPr>
                </pic:pic>
              </a:graphicData>
            </a:graphic>
          </wp:inline>
        </w:drawing>
      </w:r>
    </w:p>
    <w:p>
      <w:pPr>
        <w:pStyle w:val="44"/>
        <w:numPr>
          <w:ilvl w:val="8"/>
          <w:numId w:val="30"/>
        </w:numPr>
        <w:bidi w:val="0"/>
        <w:jc w:val="center"/>
        <w:rPr>
          <w:rFonts w:hint="eastAsia"/>
          <w:color w:val="auto"/>
        </w:rPr>
      </w:pPr>
      <w:r>
        <w:rPr>
          <w:rFonts w:hint="eastAsia"/>
          <w:color w:val="auto"/>
          <w:lang w:eastAsia="zh-CN"/>
        </w:rPr>
        <w:t>环境空间管控区</w:t>
      </w:r>
      <w:r>
        <w:rPr>
          <w:rFonts w:hint="eastAsia"/>
          <w:color w:val="auto"/>
        </w:rPr>
        <w:t>图</w:t>
      </w:r>
    </w:p>
    <w:p>
      <w:pPr>
        <w:pStyle w:val="39"/>
        <w:numPr>
          <w:ilvl w:val="2"/>
          <w:numId w:val="9"/>
        </w:numPr>
        <w:rPr>
          <w:rFonts w:hint="eastAsia" w:ascii="Times New Roman" w:hAnsi="Times New Roman" w:eastAsia="宋体" w:cs="Times New Roman"/>
          <w:b/>
          <w:bCs/>
          <w:color w:val="auto"/>
          <w:szCs w:val="28"/>
          <w:lang w:eastAsia="zh-CN"/>
        </w:rPr>
      </w:pPr>
      <w:bookmarkStart w:id="124" w:name="_Toc6596"/>
      <w:bookmarkStart w:id="125" w:name="_Toc338"/>
      <w:r>
        <w:rPr>
          <w:rFonts w:hint="eastAsia" w:ascii="Times New Roman" w:hAnsi="Times New Roman" w:eastAsia="宋体" w:cs="Times New Roman"/>
          <w:b/>
          <w:bCs/>
          <w:color w:val="auto"/>
          <w:szCs w:val="28"/>
          <w:lang w:eastAsia="zh-CN"/>
        </w:rPr>
        <w:t>生态保护红线区</w:t>
      </w:r>
      <w:bookmarkEnd w:id="124"/>
      <w:bookmarkEnd w:id="125"/>
    </w:p>
    <w:p>
      <w:pPr>
        <w:rPr>
          <w:rFonts w:hint="eastAsia" w:ascii="宋体" w:hAnsi="宋体" w:eastAsia="宋体"/>
          <w:color w:val="auto"/>
          <w:sz w:val="24"/>
          <w:szCs w:val="24"/>
          <w:lang w:val="en-US" w:eastAsia="zh-CN"/>
        </w:rPr>
      </w:pPr>
      <w:r>
        <w:rPr>
          <w:rFonts w:hint="eastAsia" w:ascii="宋体" w:hAnsi="宋体" w:eastAsia="宋体"/>
          <w:color w:val="auto"/>
          <w:sz w:val="24"/>
          <w:szCs w:val="24"/>
          <w:lang w:eastAsia="zh-CN"/>
        </w:rPr>
        <w:t>根据《广州市城市环境总体规划（2014-2030年）》（2016年7月）的相关要求，</w:t>
      </w:r>
      <w:r>
        <w:rPr>
          <w:rFonts w:hint="eastAsia" w:ascii="宋体" w:hAnsi="宋体" w:eastAsia="宋体"/>
          <w:color w:val="auto"/>
          <w:sz w:val="24"/>
          <w:szCs w:val="24"/>
          <w:lang w:val="en-US" w:eastAsia="zh-CN"/>
        </w:rPr>
        <w:t>生态系统重要区禁止新建、扩建工业项目，禁止露天采矿等生态破坏严重的项目，禁止新建规模化畜禽养殖场。引导人口逐步有序转移、现有工业企业、矿山开发、规模化畜禽养殖要逐步减少规模，逐步推出，推动实现污染物“零排放”，提高生态功能，功能受损区域实施生态恢复。</w:t>
      </w:r>
    </w:p>
    <w:p>
      <w:pPr>
        <w:spacing w:beforeLines="0" w:afterLines="0"/>
        <w:ind w:left="0" w:leftChars="0" w:firstLine="484" w:firstLineChars="200"/>
        <w:jc w:val="left"/>
        <w:rPr>
          <w:rFonts w:hint="default" w:ascii="宋体" w:hAnsi="宋体" w:eastAsia="宋体"/>
          <w:color w:val="auto"/>
          <w:sz w:val="24"/>
          <w:szCs w:val="24"/>
          <w:lang w:val="en-US" w:eastAsia="zh-CN"/>
        </w:rPr>
      </w:pPr>
      <w:r>
        <w:rPr>
          <w:rFonts w:hint="eastAsia" w:ascii="宋体" w:hAnsi="宋体" w:eastAsia="宋体"/>
          <w:color w:val="auto"/>
          <w:sz w:val="24"/>
          <w:szCs w:val="24"/>
        </w:rPr>
        <w:t>本项目</w:t>
      </w:r>
      <w:r>
        <w:rPr>
          <w:rFonts w:hint="eastAsia" w:ascii="宋体" w:hAnsi="宋体" w:eastAsia="宋体"/>
          <w:color w:val="auto"/>
          <w:sz w:val="24"/>
          <w:szCs w:val="24"/>
          <w:lang w:eastAsia="zh-CN"/>
        </w:rPr>
        <w:t>设计</w:t>
      </w:r>
      <w:r>
        <w:rPr>
          <w:rFonts w:hint="eastAsia" w:ascii="宋体" w:hAnsi="宋体" w:eastAsia="宋体"/>
          <w:color w:val="auto"/>
          <w:sz w:val="24"/>
          <w:szCs w:val="24"/>
        </w:rPr>
        <w:t>范围与</w:t>
      </w:r>
      <w:r>
        <w:rPr>
          <w:rFonts w:hint="eastAsia" w:ascii="宋体" w:hAnsi="宋体" w:eastAsia="宋体"/>
          <w:color w:val="auto"/>
          <w:sz w:val="24"/>
          <w:szCs w:val="24"/>
          <w:lang w:val="en-US" w:eastAsia="zh-CN"/>
        </w:rPr>
        <w:t>生态保护红线</w:t>
      </w:r>
      <w:r>
        <w:rPr>
          <w:rFonts w:hint="eastAsia" w:ascii="宋体" w:hAnsi="宋体" w:eastAsia="宋体"/>
          <w:color w:val="auto"/>
          <w:sz w:val="24"/>
          <w:szCs w:val="24"/>
        </w:rPr>
        <w:t>区范围</w:t>
      </w:r>
      <w:r>
        <w:rPr>
          <w:rFonts w:hint="eastAsia" w:ascii="宋体" w:hAnsi="宋体" w:eastAsia="宋体"/>
          <w:color w:val="auto"/>
          <w:sz w:val="24"/>
          <w:szCs w:val="24"/>
          <w:lang w:val="en-US" w:eastAsia="zh-CN"/>
        </w:rPr>
        <w:t>无</w:t>
      </w:r>
      <w:r>
        <w:rPr>
          <w:rFonts w:hint="eastAsia" w:ascii="宋体" w:hAnsi="宋体" w:eastAsia="宋体"/>
          <w:color w:val="auto"/>
          <w:sz w:val="24"/>
          <w:szCs w:val="24"/>
        </w:rPr>
        <w:t>叠加，根据上述要求，本项目新建内容均符合上述规划中对</w:t>
      </w:r>
      <w:r>
        <w:rPr>
          <w:rFonts w:hint="eastAsia" w:ascii="宋体" w:hAnsi="宋体" w:eastAsia="宋体"/>
          <w:color w:val="auto"/>
          <w:sz w:val="24"/>
          <w:szCs w:val="24"/>
          <w:lang w:val="en-US" w:eastAsia="zh-CN"/>
        </w:rPr>
        <w:t>生态保护的要求</w:t>
      </w:r>
      <w:r>
        <w:rPr>
          <w:rFonts w:hint="eastAsia" w:ascii="宋体" w:hAnsi="宋体" w:eastAsia="宋体"/>
          <w:color w:val="auto"/>
          <w:sz w:val="24"/>
          <w:szCs w:val="24"/>
        </w:rPr>
        <w:t>。</w:t>
      </w:r>
    </w:p>
    <w:p>
      <w:pPr>
        <w:spacing w:beforeLines="0" w:afterLines="0"/>
        <w:ind w:left="0" w:leftChars="0" w:firstLine="484" w:firstLineChars="200"/>
        <w:jc w:val="left"/>
        <w:rPr>
          <w:rFonts w:hint="default" w:ascii="宋体" w:hAnsi="宋体" w:eastAsia="宋体"/>
          <w:color w:val="auto"/>
          <w:sz w:val="24"/>
          <w:szCs w:val="24"/>
          <w:lang w:val="en-US" w:eastAsia="zh-CN"/>
        </w:rPr>
      </w:pPr>
    </w:p>
    <w:p>
      <w:pPr>
        <w:jc w:val="center"/>
        <w:rPr>
          <w:color w:val="auto"/>
        </w:rPr>
      </w:pPr>
      <w:r>
        <w:rPr>
          <w:color w:val="auto"/>
          <w:sz w:val="24"/>
        </w:rPr>
        <mc:AlternateContent>
          <mc:Choice Requires="wps">
            <w:drawing>
              <wp:anchor distT="0" distB="0" distL="114300" distR="114300" simplePos="0" relativeHeight="251672576" behindDoc="0" locked="0" layoutInCell="1" allowOverlap="1">
                <wp:simplePos x="0" y="0"/>
                <wp:positionH relativeFrom="column">
                  <wp:posOffset>910590</wp:posOffset>
                </wp:positionH>
                <wp:positionV relativeFrom="paragraph">
                  <wp:posOffset>3572510</wp:posOffset>
                </wp:positionV>
                <wp:extent cx="1023620" cy="444500"/>
                <wp:effectExtent l="8255" t="8255" r="663575" b="42545"/>
                <wp:wrapNone/>
                <wp:docPr id="92" name="矩形标注 92"/>
                <wp:cNvGraphicFramePr/>
                <a:graphic xmlns:a="http://schemas.openxmlformats.org/drawingml/2006/main">
                  <a:graphicData uri="http://schemas.microsoft.com/office/word/2010/wordprocessingShape">
                    <wps:wsp>
                      <wps:cNvSpPr/>
                      <wps:spPr>
                        <a:xfrm>
                          <a:off x="0" y="0"/>
                          <a:ext cx="1023620" cy="444500"/>
                        </a:xfrm>
                        <a:prstGeom prst="wedgeRectCallout">
                          <a:avLst>
                            <a:gd name="adj1" fmla="val 107816"/>
                            <a:gd name="adj2" fmla="val 52571"/>
                          </a:avLst>
                        </a:prstGeom>
                        <a:noFill/>
                        <a:ln w="15875" cap="flat" cmpd="sng">
                          <a:solidFill>
                            <a:srgbClr val="000000"/>
                          </a:solidFill>
                          <a:prstDash val="solid"/>
                          <a:miter/>
                          <a:headEnd type="none" w="med" len="med"/>
                          <a:tailEnd type="none" w="med" len="med"/>
                        </a:ln>
                      </wps:spPr>
                      <wps:txbx>
                        <w:txbxContent>
                          <w:p>
                            <w:pPr>
                              <w:ind w:left="0" w:leftChars="0" w:firstLine="0" w:firstLineChars="0"/>
                              <w:jc w:val="left"/>
                              <w:rPr>
                                <w:rFonts w:hint="default" w:eastAsia="宋体"/>
                                <w:lang w:val="en-US" w:eastAsia="zh-CN"/>
                              </w:rPr>
                            </w:pPr>
                            <w:r>
                              <w:rPr>
                                <w:rFonts w:hint="eastAsia"/>
                                <w:lang w:val="en-US" w:eastAsia="zh-CN"/>
                              </w:rPr>
                              <w:t>工程位置</w:t>
                            </w:r>
                          </w:p>
                        </w:txbxContent>
                      </wps:txbx>
                      <wps:bodyPr upright="1"/>
                    </wps:wsp>
                  </a:graphicData>
                </a:graphic>
              </wp:anchor>
            </w:drawing>
          </mc:Choice>
          <mc:Fallback>
            <w:pict>
              <v:shape id="_x0000_s1026" o:spid="_x0000_s1026" o:spt="61" type="#_x0000_t61" style="position:absolute;left:0pt;margin-left:71.7pt;margin-top:281.3pt;height:35pt;width:80.6pt;z-index:251672576;mso-width-relative:page;mso-height-relative:page;" filled="f" stroked="t" coordsize="21600,21600" o:gfxdata="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CcRUu/YAAAACwEAAA8AAAAAAAAAAQAgAAAAIgAAAGRycy9kb3ducmV2&#10;LnhtbFBLAQIUABQAAAAIAIdO4kCkhprfNQIAAGcEAAAOAAAAAAAAAAEAIAAAACcBAABkcnMvZTJv&#10;RG9jLnhtbFBLBQYAAAAABgAGAFkBAADOBQAAAAA=&#10;" adj="34088,22155">
                <v:fill on="f" focussize="0,0"/>
                <v:stroke weight="1.25pt" color="#000000" joinstyle="miter"/>
                <v:imagedata o:title=""/>
                <o:lock v:ext="edit" aspectratio="f"/>
                <v:textbox>
                  <w:txbxContent>
                    <w:p>
                      <w:pPr>
                        <w:ind w:left="0" w:leftChars="0" w:firstLine="0" w:firstLineChars="0"/>
                        <w:jc w:val="left"/>
                        <w:rPr>
                          <w:rFonts w:hint="default" w:eastAsia="宋体"/>
                          <w:lang w:val="en-US" w:eastAsia="zh-CN"/>
                        </w:rPr>
                      </w:pPr>
                      <w:r>
                        <w:rPr>
                          <w:rFonts w:hint="eastAsia"/>
                          <w:lang w:val="en-US" w:eastAsia="zh-CN"/>
                        </w:rPr>
                        <w:t>工程位置</w:t>
                      </w:r>
                    </w:p>
                  </w:txbxContent>
                </v:textbox>
              </v:shape>
            </w:pict>
          </mc:Fallback>
        </mc:AlternateContent>
      </w:r>
      <w:r>
        <w:rPr>
          <w:color w:val="auto"/>
          <w:sz w:val="24"/>
        </w:rPr>
        <mc:AlternateContent>
          <mc:Choice Requires="wps">
            <w:drawing>
              <wp:anchor distT="0" distB="0" distL="114300" distR="114300" simplePos="0" relativeHeight="251671552" behindDoc="0" locked="0" layoutInCell="1" allowOverlap="1">
                <wp:simplePos x="0" y="0"/>
                <wp:positionH relativeFrom="column">
                  <wp:posOffset>2368550</wp:posOffset>
                </wp:positionH>
                <wp:positionV relativeFrom="paragraph">
                  <wp:posOffset>3739515</wp:posOffset>
                </wp:positionV>
                <wp:extent cx="512445" cy="491490"/>
                <wp:effectExtent l="7620" t="7620" r="13335" b="15240"/>
                <wp:wrapNone/>
                <wp:docPr id="91" name="椭圆 91"/>
                <wp:cNvGraphicFramePr/>
                <a:graphic xmlns:a="http://schemas.openxmlformats.org/drawingml/2006/main">
                  <a:graphicData uri="http://schemas.microsoft.com/office/word/2010/wordprocessingShape">
                    <wps:wsp>
                      <wps:cNvSpPr/>
                      <wps:spPr>
                        <a:xfrm>
                          <a:off x="0" y="0"/>
                          <a:ext cx="512445" cy="491490"/>
                        </a:xfrm>
                        <a:prstGeom prst="ellipse">
                          <a:avLst/>
                        </a:prstGeom>
                        <a:solidFill>
                          <a:srgbClr val="D9D9D9">
                            <a:alpha val="75000"/>
                          </a:srgbClr>
                        </a:solidFill>
                        <a:ln w="15875" cap="flat" cmpd="sng">
                          <a:solidFill>
                            <a:srgbClr val="BFBFBF"/>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186.5pt;margin-top:294.45pt;height:38.7pt;width:40.35pt;z-index:251671552;mso-width-relative:page;mso-height-relative:page;" fillcolor="#D9D9D9" filled="t" stroked="t" coordsize="21600,21600" o:gfxdata="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oZuQ92QAAAAsBAAAPAAAAAAAAAAEA&#10;IAAAACIAAABkcnMvZG93bnJldi54bWxQSwECFAAUAAAACACHTuJAVQEjsA4CAAA6BAAADgAAAAAA&#10;AAABACAAAAAoAQAAZHJzL2Uyb0RvYy54bWxQSwUGAAAAAAYABgBZAQAAqAUAAAAA&#10;">
                <v:fill on="t" opacity="49152f" focussize="0,0"/>
                <v:stroke weight="1.25pt" color="#BFBFBF" joinstyle="round"/>
                <v:imagedata o:title=""/>
                <o:lock v:ext="edit" aspectratio="f"/>
              </v:shape>
            </w:pict>
          </mc:Fallback>
        </mc:AlternateContent>
      </w:r>
      <w:r>
        <w:rPr>
          <w:color w:val="auto"/>
        </w:rPr>
        <w:drawing>
          <wp:inline distT="0" distB="0" distL="114300" distR="114300">
            <wp:extent cx="5378450" cy="4072890"/>
            <wp:effectExtent l="0" t="0" r="12700" b="3810"/>
            <wp:docPr id="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
                    <pic:cNvPicPr>
                      <a:picLocks noChangeAspect="1"/>
                    </pic:cNvPicPr>
                  </pic:nvPicPr>
                  <pic:blipFill>
                    <a:blip r:embed="rId91"/>
                    <a:stretch>
                      <a:fillRect/>
                    </a:stretch>
                  </pic:blipFill>
                  <pic:spPr>
                    <a:xfrm>
                      <a:off x="0" y="0"/>
                      <a:ext cx="5378450" cy="4072890"/>
                    </a:xfrm>
                    <a:prstGeom prst="rect">
                      <a:avLst/>
                    </a:prstGeom>
                    <a:noFill/>
                    <a:ln>
                      <a:noFill/>
                    </a:ln>
                  </pic:spPr>
                </pic:pic>
              </a:graphicData>
            </a:graphic>
          </wp:inline>
        </w:drawing>
      </w:r>
    </w:p>
    <w:p>
      <w:pPr>
        <w:pStyle w:val="44"/>
        <w:numPr>
          <w:ilvl w:val="8"/>
          <w:numId w:val="30"/>
        </w:numPr>
        <w:bidi w:val="0"/>
        <w:jc w:val="center"/>
        <w:rPr>
          <w:rFonts w:hint="eastAsia"/>
          <w:color w:val="auto"/>
        </w:rPr>
      </w:pPr>
      <w:r>
        <w:rPr>
          <w:rFonts w:hint="eastAsia"/>
          <w:color w:val="auto"/>
          <w:lang w:val="en-US" w:eastAsia="zh-CN"/>
        </w:rPr>
        <w:t>生态保护红线规划</w:t>
      </w:r>
      <w:r>
        <w:rPr>
          <w:rFonts w:hint="eastAsia"/>
          <w:color w:val="auto"/>
        </w:rPr>
        <w:t>图</w:t>
      </w:r>
    </w:p>
    <w:p>
      <w:pPr>
        <w:pStyle w:val="39"/>
        <w:numPr>
          <w:ilvl w:val="2"/>
          <w:numId w:val="9"/>
        </w:numPr>
        <w:rPr>
          <w:rFonts w:hint="eastAsia" w:ascii="Times New Roman" w:hAnsi="Times New Roman" w:eastAsia="宋体" w:cs="Times New Roman"/>
          <w:b/>
          <w:bCs/>
          <w:color w:val="auto"/>
          <w:szCs w:val="28"/>
          <w:lang w:eastAsia="zh-CN"/>
        </w:rPr>
      </w:pPr>
      <w:bookmarkStart w:id="126" w:name="_Toc31978"/>
      <w:bookmarkStart w:id="127" w:name="_Toc25719"/>
      <w:r>
        <w:rPr>
          <w:rFonts w:hint="eastAsia" w:ascii="Times New Roman" w:hAnsi="Times New Roman" w:eastAsia="宋体" w:cs="Times New Roman"/>
          <w:b/>
          <w:bCs/>
          <w:color w:val="auto"/>
          <w:szCs w:val="28"/>
          <w:lang w:val="en-US" w:eastAsia="zh-CN"/>
        </w:rPr>
        <w:t>大气环境管控</w:t>
      </w:r>
      <w:r>
        <w:rPr>
          <w:rFonts w:hint="eastAsia" w:ascii="Times New Roman" w:hAnsi="Times New Roman" w:eastAsia="宋体" w:cs="Times New Roman"/>
          <w:b/>
          <w:bCs/>
          <w:color w:val="auto"/>
          <w:szCs w:val="28"/>
          <w:lang w:eastAsia="zh-CN"/>
        </w:rPr>
        <w:t>区</w:t>
      </w:r>
      <w:bookmarkEnd w:id="126"/>
      <w:bookmarkEnd w:id="127"/>
    </w:p>
    <w:p>
      <w:pPr>
        <w:rPr>
          <w:rFonts w:hint="eastAsia" w:ascii="宋体" w:hAnsi="宋体" w:eastAsia="宋体"/>
          <w:color w:val="auto"/>
          <w:sz w:val="24"/>
          <w:szCs w:val="24"/>
          <w:lang w:val="en-US" w:eastAsia="zh-CN"/>
        </w:rPr>
      </w:pPr>
      <w:r>
        <w:rPr>
          <w:rFonts w:hint="eastAsia" w:ascii="宋体" w:hAnsi="宋体" w:eastAsia="宋体"/>
          <w:color w:val="auto"/>
          <w:sz w:val="24"/>
          <w:szCs w:val="24"/>
          <w:lang w:eastAsia="zh-CN"/>
        </w:rPr>
        <w:t>根据《广州市城市环境总体规划（2014-2030年）》（2016年7月）的相关要求，</w:t>
      </w:r>
      <w:r>
        <w:rPr>
          <w:rFonts w:hint="eastAsia" w:ascii="宋体" w:hAnsi="宋体" w:eastAsia="宋体"/>
          <w:color w:val="auto"/>
          <w:sz w:val="24"/>
          <w:szCs w:val="24"/>
          <w:lang w:val="en-US" w:eastAsia="zh-CN"/>
        </w:rPr>
        <w:t>大气污染物增量严控区内禁止新建除热点联产以外的煤电项目，禁止新（改、扩）建钢铁、建材、焦化、有色、石化、化工等高污染行业项目；禁止新建20蒸吨/小时以下的燃煤、重油、渣油锅炉及直接燃用生物质锅炉；禁止新建涉及有毒有害气体排放的项目；优先淘汰区域内现存的上述禁止项目。</w:t>
      </w:r>
    </w:p>
    <w:p>
      <w:pPr>
        <w:rPr>
          <w:rFonts w:hint="default" w:ascii="宋体" w:hAnsi="宋体" w:eastAsia="宋体"/>
          <w:color w:val="auto"/>
          <w:sz w:val="24"/>
          <w:szCs w:val="24"/>
          <w:lang w:val="en-US" w:eastAsia="zh-CN"/>
        </w:rPr>
      </w:pPr>
      <w:r>
        <w:rPr>
          <w:rFonts w:hint="eastAsia" w:ascii="宋体" w:hAnsi="宋体" w:eastAsia="宋体"/>
          <w:color w:val="auto"/>
          <w:sz w:val="24"/>
          <w:szCs w:val="24"/>
          <w:lang w:val="en-US" w:eastAsia="zh-CN"/>
        </w:rPr>
        <w:t>经核实，</w:t>
      </w:r>
      <w:r>
        <w:rPr>
          <w:rFonts w:hint="eastAsia" w:ascii="宋体" w:hAnsi="宋体" w:eastAsia="宋体"/>
          <w:color w:val="auto"/>
          <w:sz w:val="24"/>
          <w:szCs w:val="24"/>
        </w:rPr>
        <w:t>本项目</w:t>
      </w:r>
      <w:r>
        <w:rPr>
          <w:rFonts w:hint="eastAsia" w:ascii="宋体" w:hAnsi="宋体" w:eastAsia="宋体"/>
          <w:color w:val="auto"/>
          <w:sz w:val="24"/>
          <w:szCs w:val="24"/>
          <w:lang w:eastAsia="zh-CN"/>
        </w:rPr>
        <w:t>设计</w:t>
      </w:r>
      <w:r>
        <w:rPr>
          <w:rFonts w:hint="eastAsia" w:ascii="宋体" w:hAnsi="宋体" w:eastAsia="宋体"/>
          <w:color w:val="auto"/>
          <w:sz w:val="24"/>
          <w:szCs w:val="24"/>
        </w:rPr>
        <w:t>范围与</w:t>
      </w:r>
      <w:r>
        <w:rPr>
          <w:rFonts w:hint="eastAsia" w:ascii="宋体" w:hAnsi="宋体" w:eastAsia="宋体"/>
          <w:color w:val="auto"/>
          <w:sz w:val="24"/>
          <w:szCs w:val="24"/>
          <w:lang w:val="en-US" w:eastAsia="zh-CN"/>
        </w:rPr>
        <w:t>大气污染物增量严控区</w:t>
      </w:r>
      <w:r>
        <w:rPr>
          <w:rFonts w:hint="eastAsia" w:ascii="宋体" w:hAnsi="宋体" w:eastAsia="宋体"/>
          <w:color w:val="auto"/>
          <w:sz w:val="24"/>
          <w:szCs w:val="24"/>
        </w:rPr>
        <w:t>范围</w:t>
      </w:r>
      <w:r>
        <w:rPr>
          <w:rFonts w:hint="eastAsia" w:ascii="宋体" w:hAnsi="宋体" w:eastAsia="宋体"/>
          <w:color w:val="auto"/>
          <w:sz w:val="24"/>
          <w:szCs w:val="24"/>
          <w:lang w:val="en-US" w:eastAsia="zh-CN"/>
        </w:rPr>
        <w:t>部分</w:t>
      </w:r>
      <w:r>
        <w:rPr>
          <w:rFonts w:hint="eastAsia" w:ascii="宋体" w:hAnsi="宋体" w:eastAsia="宋体"/>
          <w:color w:val="auto"/>
          <w:sz w:val="24"/>
          <w:szCs w:val="24"/>
        </w:rPr>
        <w:t>叠加，拟建管道位置位于</w:t>
      </w:r>
      <w:r>
        <w:rPr>
          <w:rFonts w:hint="eastAsia" w:ascii="宋体" w:hAnsi="宋体" w:eastAsia="宋体"/>
          <w:color w:val="auto"/>
          <w:sz w:val="24"/>
          <w:szCs w:val="24"/>
          <w:lang w:val="en-US" w:eastAsia="zh-CN"/>
        </w:rPr>
        <w:t>大气污染物增量严控区</w:t>
      </w:r>
      <w:r>
        <w:rPr>
          <w:rFonts w:hint="eastAsia" w:ascii="宋体" w:hAnsi="宋体" w:eastAsia="宋体"/>
          <w:color w:val="auto"/>
          <w:sz w:val="24"/>
          <w:szCs w:val="24"/>
        </w:rPr>
        <w:t>范围内</w:t>
      </w:r>
      <w:r>
        <w:rPr>
          <w:rFonts w:hint="eastAsia" w:ascii="宋体" w:hAnsi="宋体" w:eastAsia="宋体"/>
          <w:color w:val="auto"/>
          <w:sz w:val="24"/>
          <w:szCs w:val="24"/>
          <w:lang w:eastAsia="zh-CN"/>
        </w:rPr>
        <w:t>。</w:t>
      </w:r>
      <w:r>
        <w:rPr>
          <w:rFonts w:hint="eastAsia" w:ascii="宋体" w:hAnsi="宋体" w:eastAsia="宋体"/>
          <w:color w:val="auto"/>
          <w:sz w:val="24"/>
          <w:szCs w:val="24"/>
          <w:lang w:val="en-US" w:eastAsia="zh-CN"/>
        </w:rPr>
        <w:t>但</w:t>
      </w:r>
      <w:r>
        <w:rPr>
          <w:rFonts w:hint="eastAsia" w:ascii="宋体" w:hAnsi="宋体" w:eastAsia="宋体"/>
          <w:color w:val="auto"/>
          <w:sz w:val="24"/>
          <w:szCs w:val="24"/>
        </w:rPr>
        <w:t>根据上述要求，本项目新建内容均不属于禁止开展的项目内</w:t>
      </w:r>
      <w:r>
        <w:rPr>
          <w:rFonts w:hint="eastAsia" w:ascii="宋体" w:hAnsi="宋体" w:eastAsia="宋体"/>
          <w:color w:val="auto"/>
          <w:sz w:val="24"/>
          <w:szCs w:val="24"/>
          <w:lang w:eastAsia="zh-CN"/>
        </w:rPr>
        <w:t>，</w:t>
      </w:r>
      <w:r>
        <w:rPr>
          <w:rFonts w:hint="eastAsia" w:ascii="宋体" w:hAnsi="宋体" w:eastAsia="宋体"/>
          <w:color w:val="auto"/>
          <w:sz w:val="24"/>
          <w:szCs w:val="24"/>
        </w:rPr>
        <w:t>符合上述规划中</w:t>
      </w:r>
      <w:r>
        <w:rPr>
          <w:rFonts w:hint="eastAsia" w:ascii="宋体" w:hAnsi="宋体" w:eastAsia="宋体"/>
          <w:color w:val="auto"/>
          <w:sz w:val="24"/>
          <w:szCs w:val="24"/>
          <w:lang w:val="en-US" w:eastAsia="zh-CN"/>
        </w:rPr>
        <w:t>大气污染物增量严控区的要求</w:t>
      </w:r>
      <w:r>
        <w:rPr>
          <w:rFonts w:hint="eastAsia" w:ascii="宋体" w:hAnsi="宋体" w:eastAsia="宋体"/>
          <w:color w:val="auto"/>
          <w:sz w:val="24"/>
          <w:szCs w:val="24"/>
        </w:rPr>
        <w:t>。</w:t>
      </w:r>
    </w:p>
    <w:p>
      <w:pPr>
        <w:jc w:val="both"/>
        <w:rPr>
          <w:color w:val="auto"/>
        </w:rPr>
      </w:pPr>
      <w:r>
        <w:rPr>
          <w:color w:val="auto"/>
          <w:sz w:val="24"/>
        </w:rPr>
        <mc:AlternateContent>
          <mc:Choice Requires="wps">
            <w:drawing>
              <wp:anchor distT="0" distB="0" distL="114300" distR="114300" simplePos="0" relativeHeight="251674624" behindDoc="0" locked="0" layoutInCell="1" allowOverlap="1">
                <wp:simplePos x="0" y="0"/>
                <wp:positionH relativeFrom="column">
                  <wp:posOffset>4161790</wp:posOffset>
                </wp:positionH>
                <wp:positionV relativeFrom="paragraph">
                  <wp:posOffset>3242310</wp:posOffset>
                </wp:positionV>
                <wp:extent cx="1172210" cy="401320"/>
                <wp:effectExtent l="1256030" t="7620" r="10160" b="467360"/>
                <wp:wrapNone/>
                <wp:docPr id="98" name="矩形标注 98"/>
                <wp:cNvGraphicFramePr/>
                <a:graphic xmlns:a="http://schemas.openxmlformats.org/drawingml/2006/main">
                  <a:graphicData uri="http://schemas.microsoft.com/office/word/2010/wordprocessingShape">
                    <wps:wsp>
                      <wps:cNvSpPr/>
                      <wps:spPr>
                        <a:xfrm>
                          <a:off x="0" y="0"/>
                          <a:ext cx="1172210" cy="401320"/>
                        </a:xfrm>
                        <a:prstGeom prst="wedgeRectCallout">
                          <a:avLst>
                            <a:gd name="adj1" fmla="val -151787"/>
                            <a:gd name="adj2" fmla="val 156012"/>
                          </a:avLst>
                        </a:prstGeom>
                        <a:noFill/>
                        <a:ln w="15875" cap="flat" cmpd="sng">
                          <a:solidFill>
                            <a:srgbClr val="000000"/>
                          </a:solidFill>
                          <a:prstDash val="solid"/>
                          <a:miter/>
                          <a:headEnd type="none" w="med" len="med"/>
                          <a:tailEnd type="none" w="med" len="med"/>
                        </a:ln>
                      </wps:spPr>
                      <wps:txbx>
                        <w:txbxContent>
                          <w:p>
                            <w:pPr>
                              <w:ind w:left="0" w:leftChars="0" w:firstLine="0" w:firstLineChars="0"/>
                              <w:jc w:val="left"/>
                              <w:rPr>
                                <w:rFonts w:hint="default" w:eastAsia="宋体"/>
                                <w:lang w:val="en-US" w:eastAsia="zh-CN"/>
                              </w:rPr>
                            </w:pPr>
                            <w:r>
                              <w:rPr>
                                <w:rFonts w:hint="eastAsia"/>
                                <w:lang w:val="en-US" w:eastAsia="zh-CN"/>
                              </w:rPr>
                              <w:t>工程位置</w:t>
                            </w:r>
                          </w:p>
                        </w:txbxContent>
                      </wps:txbx>
                      <wps:bodyPr upright="1"/>
                    </wps:wsp>
                  </a:graphicData>
                </a:graphic>
              </wp:anchor>
            </w:drawing>
          </mc:Choice>
          <mc:Fallback>
            <w:pict>
              <v:shape id="_x0000_s1026" o:spid="_x0000_s1026" o:spt="61" type="#_x0000_t61" style="position:absolute;left:0pt;margin-left:327.7pt;margin-top:255.3pt;height:31.6pt;width:92.3pt;z-index:251674624;mso-width-relative:page;mso-height-relative:page;" filled="f" stroked="t" coordsize="21600,21600" o:gfxdata="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Ck1v7HaAAAACwEAAA8AAAAAAAAAAQAgAAAAIgAAAGRycy9kb3du&#10;cmV2LnhtbFBLAQIUABQAAAAIAIdO4kDum0j2NgIAAGkEAAAOAAAAAAAAAAEAIAAAACkBAABkcnMv&#10;ZTJvRG9jLnhtbFBLBQYAAAAABgAGAFkBAADRBQAAAAA=&#10;" adj="-21986,44499">
                <v:fill on="f" focussize="0,0"/>
                <v:stroke weight="1.25pt" color="#000000" joinstyle="miter"/>
                <v:imagedata o:title=""/>
                <o:lock v:ext="edit" aspectratio="f"/>
                <v:textbox>
                  <w:txbxContent>
                    <w:p>
                      <w:pPr>
                        <w:ind w:left="0" w:leftChars="0" w:firstLine="0" w:firstLineChars="0"/>
                        <w:jc w:val="left"/>
                        <w:rPr>
                          <w:rFonts w:hint="default" w:eastAsia="宋体"/>
                          <w:lang w:val="en-US" w:eastAsia="zh-CN"/>
                        </w:rPr>
                      </w:pPr>
                      <w:r>
                        <w:rPr>
                          <w:rFonts w:hint="eastAsia"/>
                          <w:lang w:val="en-US" w:eastAsia="zh-CN"/>
                        </w:rPr>
                        <w:t>工程位置</w:t>
                      </w:r>
                    </w:p>
                  </w:txbxContent>
                </v:textbox>
              </v:shape>
            </w:pict>
          </mc:Fallback>
        </mc:AlternateContent>
      </w:r>
      <w:r>
        <w:rPr>
          <w:color w:val="auto"/>
          <w:sz w:val="24"/>
        </w:rPr>
        <mc:AlternateContent>
          <mc:Choice Requires="wps">
            <w:drawing>
              <wp:anchor distT="0" distB="0" distL="114300" distR="114300" simplePos="0" relativeHeight="251673600" behindDoc="0" locked="0" layoutInCell="1" allowOverlap="1">
                <wp:simplePos x="0" y="0"/>
                <wp:positionH relativeFrom="column">
                  <wp:posOffset>2670175</wp:posOffset>
                </wp:positionH>
                <wp:positionV relativeFrom="paragraph">
                  <wp:posOffset>3859530</wp:posOffset>
                </wp:positionV>
                <wp:extent cx="458470" cy="465455"/>
                <wp:effectExtent l="7620" t="7620" r="10160" b="22225"/>
                <wp:wrapNone/>
                <wp:docPr id="97" name="椭圆 97"/>
                <wp:cNvGraphicFramePr/>
                <a:graphic xmlns:a="http://schemas.openxmlformats.org/drawingml/2006/main">
                  <a:graphicData uri="http://schemas.microsoft.com/office/word/2010/wordprocessingShape">
                    <wps:wsp>
                      <wps:cNvSpPr/>
                      <wps:spPr>
                        <a:xfrm>
                          <a:off x="0" y="0"/>
                          <a:ext cx="458470" cy="465455"/>
                        </a:xfrm>
                        <a:prstGeom prst="ellipse">
                          <a:avLst/>
                        </a:prstGeom>
                        <a:solidFill>
                          <a:srgbClr val="D9D9D9">
                            <a:alpha val="75000"/>
                          </a:srgbClr>
                        </a:solidFill>
                        <a:ln w="15875" cap="flat" cmpd="sng">
                          <a:solidFill>
                            <a:srgbClr val="BFBFBF"/>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210.25pt;margin-top:303.9pt;height:36.65pt;width:36.1pt;z-index:251673600;mso-width-relative:page;mso-height-relative:page;" fillcolor="#D9D9D9" filled="t" stroked="t" coordsize="21600,21600" o:gfxdata="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L8GjvLYAAAACwEAAA8AAAAAAAAAAQAg&#10;AAAAIgAAAGRycy9kb3ducmV2LnhtbFBLAQIUABQAAAAIAIdO4kBCeyvYDgIAADoEAAAOAAAAAAAA&#10;AAEAIAAAACcBAABkcnMvZTJvRG9jLnhtbFBLBQYAAAAABgAGAFkBAACnBQAAAAA=&#10;">
                <v:fill on="t" opacity="49152f" focussize="0,0"/>
                <v:stroke weight="1.25pt" color="#BFBFBF" joinstyle="round"/>
                <v:imagedata o:title=""/>
                <o:lock v:ext="edit" aspectratio="f"/>
              </v:shape>
            </w:pict>
          </mc:Fallback>
        </mc:AlternateContent>
      </w:r>
      <w:r>
        <w:rPr>
          <w:color w:val="auto"/>
        </w:rPr>
        <w:drawing>
          <wp:inline distT="0" distB="0" distL="114300" distR="114300">
            <wp:extent cx="5763260" cy="4272915"/>
            <wp:effectExtent l="0" t="0" r="8890" b="13335"/>
            <wp:docPr id="9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4"/>
                    <pic:cNvPicPr>
                      <a:picLocks noChangeAspect="1"/>
                    </pic:cNvPicPr>
                  </pic:nvPicPr>
                  <pic:blipFill>
                    <a:blip r:embed="rId92"/>
                    <a:stretch>
                      <a:fillRect/>
                    </a:stretch>
                  </pic:blipFill>
                  <pic:spPr>
                    <a:xfrm>
                      <a:off x="0" y="0"/>
                      <a:ext cx="5763260" cy="4272915"/>
                    </a:xfrm>
                    <a:prstGeom prst="rect">
                      <a:avLst/>
                    </a:prstGeom>
                    <a:noFill/>
                    <a:ln>
                      <a:noFill/>
                    </a:ln>
                  </pic:spPr>
                </pic:pic>
              </a:graphicData>
            </a:graphic>
          </wp:inline>
        </w:drawing>
      </w:r>
    </w:p>
    <w:p>
      <w:pPr>
        <w:pStyle w:val="44"/>
        <w:numPr>
          <w:ilvl w:val="8"/>
          <w:numId w:val="30"/>
        </w:numPr>
        <w:bidi w:val="0"/>
        <w:jc w:val="center"/>
        <w:rPr>
          <w:color w:val="auto"/>
        </w:rPr>
      </w:pPr>
      <w:r>
        <w:rPr>
          <w:rFonts w:hint="eastAsia"/>
          <w:color w:val="auto"/>
          <w:lang w:val="en-US" w:eastAsia="zh-CN"/>
        </w:rPr>
        <w:t>大气环境空间管控区</w:t>
      </w:r>
      <w:r>
        <w:rPr>
          <w:rFonts w:hint="eastAsia"/>
          <w:color w:val="auto"/>
        </w:rPr>
        <w:t>图</w:t>
      </w:r>
    </w:p>
    <w:p>
      <w:pPr>
        <w:pStyle w:val="39"/>
        <w:numPr>
          <w:ilvl w:val="1"/>
          <w:numId w:val="9"/>
        </w:numPr>
        <w:rPr>
          <w:rFonts w:cs="宋体"/>
          <w:color w:val="auto"/>
          <w:sz w:val="28"/>
          <w:szCs w:val="28"/>
        </w:rPr>
      </w:pPr>
      <w:bookmarkStart w:id="128" w:name="_Toc31928"/>
      <w:r>
        <w:rPr>
          <w:rFonts w:cs="宋体"/>
          <w:color w:val="auto"/>
          <w:sz w:val="28"/>
          <w:szCs w:val="28"/>
        </w:rPr>
        <w:t>自然环境</w:t>
      </w:r>
      <w:bookmarkEnd w:id="119"/>
      <w:bookmarkEnd w:id="128"/>
    </w:p>
    <w:p>
      <w:pPr>
        <w:ind w:firstLine="565"/>
        <w:rPr>
          <w:rFonts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eastAsia="zh-CN"/>
        </w:rPr>
        <w:t>Y523片区</w:t>
      </w:r>
      <w:r>
        <w:rPr>
          <w:rFonts w:cs="宋体" w:asciiTheme="minorEastAsia" w:hAnsiTheme="minorEastAsia" w:eastAsiaTheme="minorEastAsia"/>
          <w:color w:val="auto"/>
          <w:sz w:val="28"/>
          <w:szCs w:val="21"/>
        </w:rPr>
        <w:t>隶属于广东省广州市从化</w:t>
      </w:r>
      <w:r>
        <w:rPr>
          <w:rFonts w:hint="eastAsia" w:cs="宋体" w:asciiTheme="minorEastAsia" w:hAnsiTheme="minorEastAsia" w:eastAsiaTheme="minorEastAsia"/>
          <w:color w:val="auto"/>
          <w:sz w:val="28"/>
          <w:szCs w:val="21"/>
          <w:lang w:eastAsia="zh-CN"/>
        </w:rPr>
        <w:t>区江埔街道</w:t>
      </w:r>
      <w:r>
        <w:rPr>
          <w:rFonts w:cs="宋体" w:asciiTheme="minorEastAsia" w:hAnsiTheme="minorEastAsia" w:eastAsiaTheme="minorEastAsia"/>
          <w:color w:val="auto"/>
          <w:sz w:val="28"/>
          <w:szCs w:val="21"/>
        </w:rPr>
        <w:t>，</w:t>
      </w:r>
      <w:r>
        <w:rPr>
          <w:rFonts w:hint="eastAsia" w:cs="宋体" w:asciiTheme="minorEastAsia" w:hAnsiTheme="minorEastAsia" w:eastAsiaTheme="minorEastAsia"/>
          <w:color w:val="auto"/>
          <w:sz w:val="28"/>
          <w:szCs w:val="21"/>
          <w:lang w:eastAsia="zh-CN"/>
        </w:rPr>
        <w:t>位于从化区中心城市东部，</w:t>
      </w:r>
      <w:r>
        <w:rPr>
          <w:rFonts w:cs="宋体" w:asciiTheme="minorEastAsia" w:hAnsiTheme="minorEastAsia" w:eastAsiaTheme="minorEastAsia"/>
          <w:color w:val="auto"/>
          <w:sz w:val="28"/>
          <w:szCs w:val="21"/>
        </w:rPr>
        <w:t>受广州市管辖，</w:t>
      </w:r>
      <w:r>
        <w:rPr>
          <w:rFonts w:hint="eastAsia" w:cs="宋体" w:asciiTheme="minorEastAsia" w:hAnsiTheme="minorEastAsia" w:eastAsiaTheme="minorEastAsia"/>
          <w:color w:val="auto"/>
          <w:sz w:val="28"/>
          <w:szCs w:val="21"/>
        </w:rPr>
        <w:t>地理位置优越，交通便利</w:t>
      </w:r>
      <w:r>
        <w:rPr>
          <w:rFonts w:hint="eastAsia" w:cs="宋体" w:asciiTheme="minorEastAsia" w:hAnsiTheme="minorEastAsia" w:eastAsiaTheme="minorEastAsia"/>
          <w:color w:val="auto"/>
          <w:sz w:val="28"/>
          <w:szCs w:val="21"/>
          <w:lang w:eastAsia="zh-CN"/>
        </w:rPr>
        <w:t>，</w:t>
      </w:r>
      <w:r>
        <w:rPr>
          <w:rFonts w:cs="宋体" w:asciiTheme="minorEastAsia" w:hAnsiTheme="minorEastAsia" w:eastAsiaTheme="minorEastAsia"/>
          <w:color w:val="auto"/>
          <w:sz w:val="28"/>
          <w:szCs w:val="21"/>
        </w:rPr>
        <w:t>风景如画，民风淳朴，空气好，花团锦簇。</w:t>
      </w:r>
    </w:p>
    <w:p>
      <w:pPr>
        <w:pStyle w:val="39"/>
        <w:numPr>
          <w:ilvl w:val="1"/>
          <w:numId w:val="9"/>
        </w:numPr>
        <w:rPr>
          <w:rFonts w:cs="宋体" w:asciiTheme="minorEastAsia" w:hAnsiTheme="minorEastAsia" w:eastAsiaTheme="minorEastAsia"/>
          <w:color w:val="auto"/>
          <w:sz w:val="28"/>
          <w:szCs w:val="28"/>
        </w:rPr>
      </w:pPr>
      <w:bookmarkStart w:id="129" w:name="_Toc26849"/>
      <w:bookmarkStart w:id="130" w:name="_Toc24448"/>
      <w:r>
        <w:rPr>
          <w:rFonts w:cs="宋体" w:asciiTheme="minorEastAsia" w:hAnsiTheme="minorEastAsia" w:eastAsiaTheme="minorEastAsia"/>
          <w:color w:val="auto"/>
          <w:sz w:val="28"/>
          <w:szCs w:val="28"/>
        </w:rPr>
        <w:t>环境影响分析</w:t>
      </w:r>
      <w:bookmarkEnd w:id="129"/>
      <w:bookmarkEnd w:id="130"/>
    </w:p>
    <w:p>
      <w:pPr>
        <w:pStyle w:val="40"/>
        <w:numPr>
          <w:ilvl w:val="2"/>
          <w:numId w:val="9"/>
        </w:numPr>
        <w:rPr>
          <w:rFonts w:cs="宋体" w:asciiTheme="minorEastAsia" w:hAnsiTheme="minorEastAsia" w:eastAsiaTheme="minorEastAsia"/>
          <w:color w:val="auto"/>
          <w:sz w:val="28"/>
          <w:szCs w:val="28"/>
        </w:rPr>
      </w:pPr>
      <w:bookmarkStart w:id="131" w:name="_Toc21158"/>
      <w:r>
        <w:rPr>
          <w:rFonts w:cs="宋体" w:asciiTheme="minorEastAsia" w:hAnsiTheme="minorEastAsia" w:eastAsiaTheme="minorEastAsia"/>
          <w:color w:val="auto"/>
          <w:sz w:val="28"/>
          <w:szCs w:val="28"/>
        </w:rPr>
        <w:t>水环境影响分析</w:t>
      </w:r>
      <w:bookmarkEnd w:id="131"/>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本工程施工采用商品混凝土，基本不产生混凝土拌和冲洗废水，生产废水主要来自机械车辆冲洗，施工期排放污水主要来自施工人员生活污水。</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生活污水主要污染物为BOD5、N、P、油、SS等，施工期高峰人数100人，每天产生约6.4m³生活污水，经污一体化生活污水处理装置处理后达标排放，对水环境影响很小。</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车辆冲洗废水中主要的污染物为石油类和SS，如果不采取措施进行处理将会对内河涌的水质造成一定影响，本工程宜采用沉沙滤油池对废水进行处理，处理后回用对水环境影响较小。</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清基、清淤施工造成的水体扰动使水体中SS浓度显著升高，造成局部水质恶化。由于清基、清淤施工影响范围较小，随着水中悬浮颗粒物的沉淀及水体交换，水质会明显好转。</w:t>
      </w:r>
    </w:p>
    <w:p>
      <w:pPr>
        <w:pStyle w:val="40"/>
        <w:numPr>
          <w:ilvl w:val="2"/>
          <w:numId w:val="9"/>
        </w:numPr>
        <w:rPr>
          <w:rFonts w:cs="宋体" w:asciiTheme="minorEastAsia" w:hAnsiTheme="minorEastAsia" w:eastAsiaTheme="minorEastAsia"/>
          <w:color w:val="auto"/>
          <w:sz w:val="28"/>
          <w:szCs w:val="28"/>
        </w:rPr>
      </w:pPr>
      <w:bookmarkStart w:id="132" w:name="_Toc28638"/>
      <w:r>
        <w:rPr>
          <w:rFonts w:cs="宋体" w:asciiTheme="minorEastAsia" w:hAnsiTheme="minorEastAsia" w:eastAsiaTheme="minorEastAsia"/>
          <w:color w:val="auto"/>
          <w:sz w:val="28"/>
          <w:szCs w:val="28"/>
        </w:rPr>
        <w:t>生态环境影响预测评价</w:t>
      </w:r>
      <w:bookmarkEnd w:id="132"/>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（1）对陆地生态系统的影响</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工程施工开始后，工程永久占地和临时占地上的植被将被铲除。工程区均为人工植被，没有原生植被，因此施工仅造成一定的生物量损失，不影响当地的生物多样性。</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工程占压将使陆生动物向周边地区迁移，施工活动中噪声的影响以及大量人员的活动都会对陆生动物栖息环境造成影响。但因该地区野生动物分布较少，且没有珍稀物种和保护动物，工程对陆生动物影响较小。</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（2）对水生生态系统的影响</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污水治理会减少河涌内的污染物，工程实施后，水生态的环境会产生较大的改善效果。</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工程区及附近没有鱼类“三场”分布，也没有珍稀鱼类和其它保护水生生物物种，工程建设对鱼类影响较小。</w:t>
      </w:r>
    </w:p>
    <w:p>
      <w:pPr>
        <w:pStyle w:val="40"/>
        <w:numPr>
          <w:ilvl w:val="2"/>
          <w:numId w:val="9"/>
        </w:numPr>
        <w:rPr>
          <w:rFonts w:cs="宋体" w:asciiTheme="minorEastAsia" w:hAnsiTheme="minorEastAsia" w:eastAsiaTheme="minorEastAsia"/>
          <w:color w:val="auto"/>
          <w:sz w:val="28"/>
          <w:szCs w:val="28"/>
        </w:rPr>
      </w:pPr>
      <w:bookmarkStart w:id="133" w:name="_Toc12371"/>
      <w:r>
        <w:rPr>
          <w:rFonts w:cs="宋体" w:asciiTheme="minorEastAsia" w:hAnsiTheme="minorEastAsia" w:eastAsiaTheme="minorEastAsia"/>
          <w:color w:val="auto"/>
          <w:sz w:val="28"/>
          <w:szCs w:val="28"/>
        </w:rPr>
        <w:t>环境空气影响分析</w:t>
      </w:r>
      <w:bookmarkEnd w:id="133"/>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工程施工期间，从外面运来填方土，卸车后堆放在施工现场，推土机推平后，压路机压实。由于数月泥土裸露，旱干风致，车辆过往时，卷起扬尘。使空气中悬浮颗粒含量急剧增加，从而使附近的建筑物、农作物、树木等蒙上一层灰尘，影响市容景观和人们的生产和生活。</w:t>
      </w:r>
      <w:r>
        <w:rPr>
          <w:rFonts w:hint="eastAsia" w:cs="宋体" w:asciiTheme="minorEastAsia" w:hAnsiTheme="minorEastAsia" w:eastAsiaTheme="minorEastAsia"/>
          <w:color w:val="auto"/>
          <w:sz w:val="28"/>
          <w:szCs w:val="21"/>
          <w:lang w:val="en-US" w:eastAsia="zh-CN"/>
        </w:rPr>
        <w:t xml:space="preserve"> </w:t>
      </w:r>
      <w:r>
        <w:rPr>
          <w:rFonts w:cs="宋体" w:asciiTheme="minorEastAsia" w:hAnsiTheme="minorEastAsia" w:eastAsiaTheme="minorEastAsia"/>
          <w:color w:val="auto"/>
          <w:sz w:val="28"/>
          <w:szCs w:val="21"/>
        </w:rPr>
        <w:t>工机械排放的尾气以及道路扬尘等，污染物主要为CO、SO2、NOX、CnHm、飘尘等。施工区及施工道路附近没有敏感点，施工对周边大气环境影响较小。</w:t>
      </w:r>
    </w:p>
    <w:p>
      <w:pPr>
        <w:pStyle w:val="40"/>
        <w:numPr>
          <w:ilvl w:val="2"/>
          <w:numId w:val="9"/>
        </w:numPr>
        <w:rPr>
          <w:rFonts w:cs="宋体" w:asciiTheme="minorEastAsia" w:hAnsiTheme="minorEastAsia" w:eastAsiaTheme="minorEastAsia"/>
          <w:color w:val="auto"/>
          <w:sz w:val="28"/>
          <w:szCs w:val="28"/>
        </w:rPr>
      </w:pPr>
      <w:bookmarkStart w:id="134" w:name="_Toc28555"/>
      <w:r>
        <w:rPr>
          <w:rFonts w:cs="宋体" w:asciiTheme="minorEastAsia" w:hAnsiTheme="minorEastAsia" w:eastAsiaTheme="minorEastAsia"/>
          <w:color w:val="auto"/>
          <w:sz w:val="28"/>
          <w:szCs w:val="28"/>
        </w:rPr>
        <w:t>声环境影响分析</w:t>
      </w:r>
      <w:bookmarkEnd w:id="134"/>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施工期间的噪声主要来自于管道建设时施工机械、建筑材料的运输和施工桩基处理。特别是夜间，若不加于控制，噪声将严重干扰人们的工作和生活。</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施工期噪声有施工机械噪声和交通噪声。施工区及施工道路没有声环境敏感点，施工噪声影响很小。</w:t>
      </w:r>
    </w:p>
    <w:p>
      <w:pPr>
        <w:pStyle w:val="40"/>
        <w:numPr>
          <w:ilvl w:val="2"/>
          <w:numId w:val="9"/>
        </w:numPr>
        <w:rPr>
          <w:rFonts w:hint="eastAsia" w:eastAsiaTheme="minorEastAsia"/>
          <w:color w:val="auto"/>
          <w:szCs w:val="28"/>
          <w:lang w:eastAsia="zh-CN"/>
        </w:rPr>
      </w:pPr>
      <w:r>
        <w:rPr>
          <w:rFonts w:hint="eastAsia" w:eastAsiaTheme="minorEastAsia"/>
          <w:color w:val="auto"/>
          <w:szCs w:val="28"/>
          <w:lang w:eastAsia="zh-CN"/>
        </w:rPr>
        <w:t>扬尘环境影响分析</w:t>
      </w:r>
    </w:p>
    <w:p>
      <w:pPr>
        <w:ind w:firstLine="565"/>
        <w:rPr>
          <w:rFonts w:hint="eastAsia" w:eastAsia="宋体" w:cs="Times New Roman" w:asciiTheme="minorEastAsia" w:hAnsiTheme="minorEastAsia"/>
          <w:color w:val="auto"/>
          <w:sz w:val="28"/>
          <w:szCs w:val="21"/>
          <w:highlight w:val="none"/>
        </w:rPr>
      </w:pPr>
      <w:r>
        <w:rPr>
          <w:rFonts w:hint="eastAsia" w:eastAsia="宋体" w:cs="Times New Roman" w:asciiTheme="minorEastAsia" w:hAnsiTheme="minorEastAsia"/>
          <w:color w:val="auto"/>
          <w:sz w:val="28"/>
          <w:szCs w:val="21"/>
          <w:highlight w:val="none"/>
        </w:rPr>
        <w:t>主体工程施工区扬尘影响范围主要集中在工地扬尘点下风向150m，运输扬尘主要集中在道路两侧50m 范围内，堆场和灰土搅拌点扬尘污染主要集中在下风向150m范围内。工程大气影响因子主要是施工过程中产生的扬尘，代表性污染物为TSP。影响季节主要在秋冬，建议采取控制车速和洒水等措施减轻影响，并且加强对施工人员的劳动保护。</w:t>
      </w:r>
    </w:p>
    <w:p>
      <w:pPr>
        <w:ind w:firstLine="565"/>
        <w:rPr>
          <w:rFonts w:eastAsia="宋体" w:cs="Times New Roman" w:asciiTheme="minorEastAsia" w:hAnsiTheme="minorEastAsia"/>
          <w:color w:val="auto"/>
          <w:sz w:val="28"/>
          <w:szCs w:val="21"/>
          <w:highlight w:val="none"/>
        </w:rPr>
      </w:pPr>
      <w:r>
        <w:rPr>
          <w:rFonts w:hint="eastAsia" w:eastAsia="宋体" w:cs="Times New Roman" w:asciiTheme="minorEastAsia" w:hAnsiTheme="minorEastAsia"/>
          <w:color w:val="auto"/>
          <w:sz w:val="28"/>
          <w:szCs w:val="21"/>
          <w:highlight w:val="none"/>
        </w:rPr>
        <w:t>收尾期不会产生大规模的填挖方工作，不会产生大量扬尘。但工棚拆迁及设备运输，会产生NOx、CO和TSP等。由于收尾工作期较短，对施工周边环境产生的影响较小。</w:t>
      </w:r>
    </w:p>
    <w:p>
      <w:pPr>
        <w:pStyle w:val="40"/>
        <w:numPr>
          <w:ilvl w:val="2"/>
          <w:numId w:val="9"/>
        </w:numPr>
        <w:rPr>
          <w:rFonts w:cs="宋体" w:asciiTheme="minorEastAsia" w:hAnsiTheme="minorEastAsia" w:eastAsiaTheme="minorEastAsia"/>
          <w:color w:val="auto"/>
          <w:sz w:val="28"/>
          <w:szCs w:val="28"/>
        </w:rPr>
      </w:pPr>
      <w:bookmarkStart w:id="135" w:name="_Toc5453"/>
      <w:r>
        <w:rPr>
          <w:rFonts w:cs="宋体" w:asciiTheme="minorEastAsia" w:hAnsiTheme="minorEastAsia" w:eastAsiaTheme="minorEastAsia"/>
          <w:color w:val="auto"/>
          <w:sz w:val="28"/>
          <w:szCs w:val="28"/>
        </w:rPr>
        <w:t>固体废弃物影响分析</w:t>
      </w:r>
      <w:bookmarkEnd w:id="135"/>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施工期产生的固体废弃物包括工程弃碴和生活垃圾两部分，工程弃碴处理详见水土保持部分。</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生活垃圾排放量按每人每天1kg计，施工高峰期每天100kg，总工日2.38万个，产生的生活垃圾总量约为9.8t。施工区生活垃圾应定期收集，集中外运至附近垃圾场处理，影响很小。</w:t>
      </w:r>
    </w:p>
    <w:p>
      <w:pPr>
        <w:pStyle w:val="40"/>
        <w:numPr>
          <w:ilvl w:val="2"/>
          <w:numId w:val="9"/>
        </w:numPr>
        <w:rPr>
          <w:rFonts w:cs="宋体" w:asciiTheme="minorEastAsia" w:hAnsiTheme="minorEastAsia" w:eastAsiaTheme="minorEastAsia"/>
          <w:color w:val="auto"/>
          <w:sz w:val="28"/>
          <w:szCs w:val="28"/>
        </w:rPr>
      </w:pPr>
      <w:bookmarkStart w:id="136" w:name="_Toc2618"/>
      <w:r>
        <w:rPr>
          <w:rFonts w:cs="宋体" w:asciiTheme="minorEastAsia" w:hAnsiTheme="minorEastAsia" w:eastAsiaTheme="minorEastAsia"/>
          <w:color w:val="auto"/>
          <w:sz w:val="28"/>
          <w:szCs w:val="28"/>
        </w:rPr>
        <w:t>人群健康影响分析</w:t>
      </w:r>
      <w:bookmarkEnd w:id="136"/>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施工区气候湿热，</w:t>
      </w:r>
      <w:r>
        <w:rPr>
          <w:rFonts w:hint="eastAsia" w:cs="宋体" w:asciiTheme="minorEastAsia" w:hAnsiTheme="minorEastAsia" w:eastAsiaTheme="minorEastAsia"/>
          <w:color w:val="auto"/>
          <w:sz w:val="28"/>
          <w:szCs w:val="21"/>
          <w:highlight w:val="none"/>
          <w:lang w:eastAsia="zh-CN"/>
        </w:rPr>
        <w:t>易滋生</w:t>
      </w:r>
      <w:r>
        <w:rPr>
          <w:rFonts w:cs="宋体" w:asciiTheme="minorEastAsia" w:hAnsiTheme="minorEastAsia" w:eastAsiaTheme="minorEastAsia"/>
          <w:color w:val="auto"/>
          <w:sz w:val="28"/>
          <w:szCs w:val="21"/>
        </w:rPr>
        <w:t>蚊虫。在施工期间，由于施工人员相对集中，居住条件较差，易引起传染病的流行。施工期间易引起的传染病有：流行性出血热、疟疾、流行性乙型脑炎、痢疾和肝炎等。应加强卫生防疫工作，保证施工人员的健康。</w:t>
      </w:r>
    </w:p>
    <w:p>
      <w:pPr>
        <w:pStyle w:val="39"/>
        <w:numPr>
          <w:ilvl w:val="1"/>
          <w:numId w:val="9"/>
        </w:numPr>
        <w:rPr>
          <w:rFonts w:cs="宋体" w:asciiTheme="minorEastAsia" w:hAnsiTheme="minorEastAsia" w:eastAsiaTheme="minorEastAsia"/>
          <w:color w:val="auto"/>
          <w:sz w:val="28"/>
          <w:szCs w:val="28"/>
        </w:rPr>
      </w:pPr>
      <w:bookmarkStart w:id="137" w:name="_Toc1927"/>
      <w:bookmarkStart w:id="138" w:name="_Toc14012"/>
      <w:r>
        <w:rPr>
          <w:rFonts w:cs="宋体" w:asciiTheme="minorEastAsia" w:hAnsiTheme="minorEastAsia" w:eastAsiaTheme="minorEastAsia"/>
          <w:color w:val="auto"/>
          <w:sz w:val="28"/>
          <w:szCs w:val="28"/>
        </w:rPr>
        <w:t>环境保护措施</w:t>
      </w:r>
      <w:bookmarkEnd w:id="137"/>
      <w:bookmarkEnd w:id="138"/>
    </w:p>
    <w:p>
      <w:pPr>
        <w:pStyle w:val="40"/>
        <w:numPr>
          <w:ilvl w:val="2"/>
          <w:numId w:val="9"/>
        </w:numPr>
        <w:rPr>
          <w:rFonts w:cs="宋体" w:asciiTheme="minorEastAsia" w:hAnsiTheme="minorEastAsia" w:eastAsiaTheme="minorEastAsia"/>
          <w:color w:val="auto"/>
          <w:sz w:val="28"/>
          <w:szCs w:val="28"/>
        </w:rPr>
      </w:pPr>
      <w:bookmarkStart w:id="139" w:name="_Toc3924"/>
      <w:r>
        <w:rPr>
          <w:rFonts w:cs="宋体" w:asciiTheme="minorEastAsia" w:hAnsiTheme="minorEastAsia" w:eastAsiaTheme="minorEastAsia"/>
          <w:color w:val="auto"/>
          <w:sz w:val="28"/>
          <w:szCs w:val="28"/>
        </w:rPr>
        <w:t>水环境保护措施</w:t>
      </w:r>
      <w:bookmarkEnd w:id="139"/>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（1）生活污水处理：生活污水不得直接排入河道，在生活区设置一体化生活污水处理装置对生活污水进行处理，达标排放。</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（2）在施工区和生活区设临时厕所，产生的粪便采用无害化肥田处理方式。</w:t>
      </w:r>
    </w:p>
    <w:p>
      <w:pPr>
        <w:pStyle w:val="40"/>
        <w:numPr>
          <w:ilvl w:val="2"/>
          <w:numId w:val="9"/>
        </w:numPr>
        <w:rPr>
          <w:rFonts w:cs="宋体" w:asciiTheme="minorEastAsia" w:hAnsiTheme="minorEastAsia" w:eastAsiaTheme="minorEastAsia"/>
          <w:color w:val="auto"/>
          <w:sz w:val="28"/>
          <w:szCs w:val="28"/>
        </w:rPr>
      </w:pPr>
      <w:bookmarkStart w:id="140" w:name="_Toc32004"/>
      <w:r>
        <w:rPr>
          <w:rFonts w:cs="宋体" w:asciiTheme="minorEastAsia" w:hAnsiTheme="minorEastAsia" w:eastAsiaTheme="minorEastAsia"/>
          <w:color w:val="auto"/>
          <w:sz w:val="28"/>
          <w:szCs w:val="28"/>
        </w:rPr>
        <w:t>大气污染防治措施</w:t>
      </w:r>
      <w:bookmarkEnd w:id="140"/>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（1）交通道路，特别是临近生活区的路段，要经常洒水。</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（2）进场设备尾气排放必须符合环保标准。</w:t>
      </w:r>
    </w:p>
    <w:p>
      <w:pPr>
        <w:pStyle w:val="40"/>
        <w:numPr>
          <w:ilvl w:val="2"/>
          <w:numId w:val="9"/>
        </w:numPr>
        <w:rPr>
          <w:rFonts w:cs="宋体" w:asciiTheme="minorEastAsia" w:hAnsiTheme="minorEastAsia" w:eastAsiaTheme="minorEastAsia"/>
          <w:color w:val="auto"/>
          <w:sz w:val="28"/>
          <w:szCs w:val="28"/>
        </w:rPr>
      </w:pPr>
      <w:bookmarkStart w:id="141" w:name="_Toc22561"/>
      <w:r>
        <w:rPr>
          <w:rFonts w:cs="宋体" w:asciiTheme="minorEastAsia" w:hAnsiTheme="minorEastAsia" w:eastAsiaTheme="minorEastAsia"/>
          <w:color w:val="auto"/>
          <w:sz w:val="28"/>
          <w:szCs w:val="28"/>
        </w:rPr>
        <w:t>噪声控制措施</w:t>
      </w:r>
      <w:bookmarkEnd w:id="141"/>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（1）合理进行场地布置，使高噪声场区远离生活区。</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（2）在高噪音环境施工人员实行轮班制，控制作业时间，并配备耳塞等劳保用品。</w:t>
      </w:r>
    </w:p>
    <w:p>
      <w:pPr>
        <w:pStyle w:val="40"/>
        <w:numPr>
          <w:ilvl w:val="2"/>
          <w:numId w:val="9"/>
        </w:numPr>
        <w:rPr>
          <w:rFonts w:cs="宋体" w:asciiTheme="minorEastAsia" w:hAnsiTheme="minorEastAsia" w:eastAsiaTheme="minorEastAsia"/>
          <w:color w:val="auto"/>
          <w:sz w:val="28"/>
          <w:szCs w:val="28"/>
        </w:rPr>
      </w:pPr>
      <w:bookmarkStart w:id="142" w:name="_Toc32751"/>
      <w:r>
        <w:rPr>
          <w:rFonts w:cs="宋体" w:asciiTheme="minorEastAsia" w:hAnsiTheme="minorEastAsia" w:eastAsiaTheme="minorEastAsia"/>
          <w:color w:val="auto"/>
          <w:sz w:val="28"/>
          <w:szCs w:val="28"/>
        </w:rPr>
        <w:t>生态环境保护措施</w:t>
      </w:r>
      <w:bookmarkEnd w:id="142"/>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（1）工程完工后，对临时施工场地及时平整，恢复植被。</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（2）尽量合理安排施工用地，减少占用。加强施工期间的环境管理和宣传教育工作，尽可能的少占林地和破坏土壤环境，防止碾压和破坏施工范围之外的植被，减少人为因素对植被的破坏。</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（3）在生活区和施工区设置生态保护警示牌和环境保护宣传栏，在施工人员中加强生态保护宣传。</w:t>
      </w:r>
    </w:p>
    <w:p>
      <w:pPr>
        <w:pStyle w:val="40"/>
        <w:numPr>
          <w:ilvl w:val="2"/>
          <w:numId w:val="9"/>
        </w:numPr>
        <w:rPr>
          <w:rFonts w:cs="宋体" w:asciiTheme="minorEastAsia" w:hAnsiTheme="minorEastAsia" w:eastAsiaTheme="minorEastAsia"/>
          <w:color w:val="auto"/>
          <w:sz w:val="28"/>
          <w:szCs w:val="28"/>
        </w:rPr>
      </w:pPr>
      <w:bookmarkStart w:id="143" w:name="_Toc11265"/>
      <w:r>
        <w:rPr>
          <w:rFonts w:cs="宋体" w:asciiTheme="minorEastAsia" w:hAnsiTheme="minorEastAsia" w:eastAsiaTheme="minorEastAsia"/>
          <w:color w:val="auto"/>
          <w:sz w:val="28"/>
          <w:szCs w:val="28"/>
        </w:rPr>
        <w:t>生活垃圾处理措施</w:t>
      </w:r>
      <w:bookmarkEnd w:id="143"/>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在生活区、施工场区等处设置足够的垃圾箱，对垃圾进行定期收集，生活垃圾采用集中运至垃圾场处理。</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人群健康保护措施生活垃圾处理措施施工单位应与当地卫生医疗部门取得联系，由当地卫生部门负责施工人员的医疗保健和急救及意外事故的现场急救与治疗。为保证工程的顺利进行，保障施工人员的身体健康，施工人员进场前应进行体检，传染病人不得进入施工区。组织对生活区进行灭蚊蝇和灭鼠，施工现场应设置环保厕所，不得随意大小便，粪便应及时清理。</w:t>
      </w:r>
    </w:p>
    <w:p>
      <w:pPr>
        <w:pStyle w:val="39"/>
        <w:numPr>
          <w:ilvl w:val="1"/>
          <w:numId w:val="9"/>
        </w:numPr>
        <w:rPr>
          <w:rFonts w:cs="宋体" w:asciiTheme="minorEastAsia" w:hAnsiTheme="minorEastAsia" w:eastAsiaTheme="minorEastAsia"/>
          <w:color w:val="auto"/>
          <w:sz w:val="28"/>
          <w:szCs w:val="28"/>
        </w:rPr>
      </w:pPr>
      <w:bookmarkStart w:id="144" w:name="_Toc4234"/>
      <w:bookmarkStart w:id="145" w:name="_Toc32699"/>
      <w:r>
        <w:rPr>
          <w:rFonts w:cs="宋体" w:asciiTheme="minorEastAsia" w:hAnsiTheme="minorEastAsia" w:eastAsiaTheme="minorEastAsia"/>
          <w:color w:val="auto"/>
          <w:sz w:val="28"/>
          <w:szCs w:val="28"/>
        </w:rPr>
        <w:t>环境保护措施</w:t>
      </w:r>
      <w:bookmarkEnd w:id="144"/>
      <w:bookmarkEnd w:id="145"/>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本工程的环境保护措施能否真正得到落实，关键在于环境管理规划的制订和实施。</w:t>
      </w:r>
    </w:p>
    <w:p>
      <w:pPr>
        <w:pStyle w:val="40"/>
        <w:numPr>
          <w:ilvl w:val="2"/>
          <w:numId w:val="9"/>
        </w:numPr>
        <w:rPr>
          <w:rFonts w:cs="宋体" w:asciiTheme="minorEastAsia" w:hAnsiTheme="minorEastAsia" w:eastAsiaTheme="minorEastAsia"/>
          <w:color w:val="auto"/>
          <w:sz w:val="28"/>
          <w:szCs w:val="28"/>
        </w:rPr>
      </w:pPr>
      <w:bookmarkStart w:id="146" w:name="_Toc28451"/>
      <w:r>
        <w:rPr>
          <w:rFonts w:cs="宋体" w:asciiTheme="minorEastAsia" w:hAnsiTheme="minorEastAsia" w:eastAsiaTheme="minorEastAsia"/>
          <w:color w:val="auto"/>
          <w:sz w:val="28"/>
          <w:szCs w:val="28"/>
        </w:rPr>
        <w:t>环境管理目标</w:t>
      </w:r>
      <w:bookmarkEnd w:id="146"/>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根据有关的环保法规及工程的特点，环境管理的总目标为：</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（1）确保本工程符合环境保护法规要求。</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（2）以适当的环境保护措施充分发挥本工程潜在的效益。</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（3）实现工程建设的环境、社会与经济效益的统一。</w:t>
      </w:r>
    </w:p>
    <w:p>
      <w:pPr>
        <w:pStyle w:val="40"/>
        <w:numPr>
          <w:ilvl w:val="2"/>
          <w:numId w:val="9"/>
        </w:numPr>
        <w:rPr>
          <w:rFonts w:cs="宋体" w:asciiTheme="minorEastAsia" w:hAnsiTheme="minorEastAsia" w:eastAsiaTheme="minorEastAsia"/>
          <w:color w:val="auto"/>
          <w:sz w:val="28"/>
          <w:szCs w:val="28"/>
        </w:rPr>
      </w:pPr>
      <w:bookmarkStart w:id="147" w:name="_Toc7021"/>
      <w:r>
        <w:rPr>
          <w:rFonts w:cs="宋体" w:asciiTheme="minorEastAsia" w:hAnsiTheme="minorEastAsia" w:eastAsiaTheme="minorEastAsia"/>
          <w:color w:val="auto"/>
          <w:sz w:val="28"/>
          <w:szCs w:val="28"/>
        </w:rPr>
        <w:t>环境管理机构及其职责</w:t>
      </w:r>
      <w:bookmarkEnd w:id="147"/>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在工程建设管理单位设置环境管理人员，安排专业环保人员负责施工中的环境管理工作。为保证各项措施有效实施，环境管理人员应在工程筹建期设置。</w:t>
      </w:r>
    </w:p>
    <w:p>
      <w:pPr>
        <w:pStyle w:val="37"/>
        <w:numPr>
          <w:ilvl w:val="3"/>
          <w:numId w:val="9"/>
        </w:numPr>
        <w:rPr>
          <w:rFonts w:cs="宋体" w:asciiTheme="minorEastAsia" w:hAnsiTheme="minorEastAsia" w:eastAsiaTheme="minorEastAsia"/>
          <w:color w:val="auto"/>
          <w:sz w:val="28"/>
          <w:szCs w:val="24"/>
        </w:rPr>
      </w:pPr>
      <w:r>
        <w:rPr>
          <w:rFonts w:cs="宋体" w:asciiTheme="minorEastAsia" w:hAnsiTheme="minorEastAsia" w:eastAsiaTheme="minorEastAsia"/>
          <w:color w:val="auto"/>
          <w:sz w:val="28"/>
          <w:szCs w:val="24"/>
        </w:rPr>
        <w:t>环境管理机构设置</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（1）贯彻国家及有关部门的环保方针、政策、法规、条例，对工程施工过程中各项环保措施执行情况进行监督检查。结合本工程特点，制定施工区环境管理办法，并指导、监督实施。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（2）做好施工期各种突发性污染事故的预防工作，准备好应急处理措施。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（3）协调处理工程建设与当地群众的环境纠纷。</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（4）加强对施工人员的环保宣传教育，增强其环保意识。</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（5）定期编制环境简报，及时公布环境保护和环境状况的最新动态，搞好环境保护宣传工作。</w:t>
      </w:r>
    </w:p>
    <w:p>
      <w:pPr>
        <w:pStyle w:val="40"/>
        <w:numPr>
          <w:ilvl w:val="2"/>
          <w:numId w:val="9"/>
        </w:numPr>
        <w:rPr>
          <w:rFonts w:cs="宋体" w:asciiTheme="minorEastAsia" w:hAnsiTheme="minorEastAsia" w:eastAsiaTheme="minorEastAsia"/>
          <w:color w:val="auto"/>
          <w:sz w:val="28"/>
          <w:szCs w:val="28"/>
        </w:rPr>
      </w:pPr>
      <w:bookmarkStart w:id="148" w:name="_Toc14397"/>
      <w:r>
        <w:rPr>
          <w:rFonts w:cs="宋体" w:asciiTheme="minorEastAsia" w:hAnsiTheme="minorEastAsia" w:eastAsiaTheme="minorEastAsia"/>
          <w:color w:val="auto"/>
          <w:sz w:val="28"/>
          <w:szCs w:val="28"/>
        </w:rPr>
        <w:t>环境监理</w:t>
      </w:r>
      <w:bookmarkEnd w:id="148"/>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为防治施工活动造成的环境污染，保障施工人员的身体健康，保证工程顺利进行，应聘请一名环境监理工程师开展施工区环境监理工作。环境监理工程师职责如下：</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（1）按照国家有关环保法规和工程的环保规定，统一管理施工区环境保护工作。</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监督承包商环保合同条款的执行情况，并负责解释环保条款。对重大环境问题提出处理意见和报告，并责成有关单位限期纠正。发现并掌握工程施工中的环境问题。对某些环境指标，下达监测指令。对监测结果进行分析研究，并提出环境保护改善方案。</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（3）协调业主和承包商之间的关系，处理合同中有关环保部分的违约事件。</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（4）每日对现场出现的环境问题及处理结果进行记录，每月提交月报表，并根据积累的有关资料整理环境监理档案。</w:t>
      </w:r>
    </w:p>
    <w:p>
      <w:pPr>
        <w:pStyle w:val="40"/>
        <w:numPr>
          <w:ilvl w:val="2"/>
          <w:numId w:val="9"/>
        </w:numPr>
        <w:rPr>
          <w:rFonts w:cs="宋体" w:asciiTheme="minorEastAsia" w:hAnsiTheme="minorEastAsia" w:eastAsiaTheme="minorEastAsia"/>
          <w:color w:val="auto"/>
          <w:sz w:val="28"/>
          <w:szCs w:val="28"/>
        </w:rPr>
      </w:pPr>
      <w:bookmarkStart w:id="149" w:name="_Toc20208"/>
      <w:r>
        <w:rPr>
          <w:rFonts w:cs="宋体" w:asciiTheme="minorEastAsia" w:hAnsiTheme="minorEastAsia" w:eastAsiaTheme="minorEastAsia"/>
          <w:color w:val="auto"/>
          <w:sz w:val="28"/>
          <w:szCs w:val="28"/>
        </w:rPr>
        <w:t>环境监测</w:t>
      </w:r>
      <w:bookmarkEnd w:id="149"/>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环境监测结果是评估施工区环境质量状况和环境监理工程师处理环境问题的依据，环境监理工程师只有依据可靠的现场监测资料才能进行科学的决策。因此在开展环境监理工作的同时，必须开展环境监测工作。环境监测主要包括水、声环境、环境空气监测等。</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①废污水监测</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监测断面布设：营地的生活污水排放口和机械车辆冲洗废水排放口。</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监测内容为:生活污水监测悬浮物、BOD5、COD、N、P5项；机械车辆冲洗废水检测SS、石油类。</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监测频率:每季度监测1次，共3次。</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②噪声监测</w:t>
      </w:r>
      <w:r>
        <w:rPr>
          <w:rFonts w:hint="eastAsia" w:cs="宋体" w:asciiTheme="minorEastAsia" w:hAnsiTheme="minorEastAsia" w:eastAsiaTheme="minorEastAsia"/>
          <w:color w:val="auto"/>
          <w:sz w:val="28"/>
          <w:szCs w:val="21"/>
        </w:rPr>
        <w:t>：</w:t>
      </w:r>
      <w:r>
        <w:rPr>
          <w:rFonts w:cs="宋体" w:asciiTheme="minorEastAsia" w:hAnsiTheme="minorEastAsia" w:eastAsiaTheme="minorEastAsia"/>
          <w:color w:val="auto"/>
          <w:sz w:val="28"/>
          <w:szCs w:val="21"/>
        </w:rPr>
        <w:t>噪声监测点设置在生活区，施工高峰期每季度监测1次，共3次。</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③大气监测</w:t>
      </w:r>
      <w:r>
        <w:rPr>
          <w:rFonts w:hint="eastAsia" w:cs="宋体" w:asciiTheme="minorEastAsia" w:hAnsiTheme="minorEastAsia" w:eastAsiaTheme="minorEastAsia"/>
          <w:color w:val="auto"/>
          <w:sz w:val="28"/>
          <w:szCs w:val="21"/>
        </w:rPr>
        <w:t>：</w:t>
      </w:r>
      <w:r>
        <w:rPr>
          <w:rFonts w:cs="宋体" w:asciiTheme="minorEastAsia" w:hAnsiTheme="minorEastAsia" w:eastAsiaTheme="minorEastAsia"/>
          <w:color w:val="auto"/>
          <w:sz w:val="28"/>
          <w:szCs w:val="21"/>
        </w:rPr>
        <w:t>监测布点和频率可与噪声相同，监测项目NO2、TSP。</w:t>
      </w:r>
    </w:p>
    <w:p>
      <w:pPr>
        <w:ind w:firstLine="565"/>
        <w:rPr>
          <w:rFonts w:cs="宋体" w:asciiTheme="minorEastAsia" w:hAnsiTheme="minorEastAsia" w:eastAsiaTheme="minorEastAsia"/>
          <w:color w:val="auto"/>
          <w:sz w:val="28"/>
          <w:szCs w:val="21"/>
        </w:rPr>
        <w:sectPr>
          <w:pgSz w:w="11906" w:h="16838"/>
          <w:pgMar w:top="1440" w:right="1080" w:bottom="1440" w:left="1080" w:header="851" w:footer="992" w:gutter="567"/>
          <w:pgBorders>
            <w:top w:val="none" w:sz="0" w:space="0"/>
            <w:left w:val="none" w:sz="0" w:space="0"/>
            <w:bottom w:val="none" w:sz="0" w:space="0"/>
            <w:right w:val="none" w:sz="0" w:space="0"/>
          </w:pgBorders>
          <w:pgNumType w:fmt="decimal"/>
          <w:cols w:space="425" w:num="1"/>
          <w:docGrid w:type="linesAndChars" w:linePitch="388" w:charSpace="526"/>
        </w:sectPr>
      </w:pPr>
    </w:p>
    <w:bookmarkEnd w:id="112"/>
    <w:p>
      <w:pPr>
        <w:pStyle w:val="38"/>
        <w:numPr>
          <w:ilvl w:val="0"/>
          <w:numId w:val="19"/>
        </w:numPr>
        <w:bidi w:val="0"/>
        <w:rPr>
          <w:rFonts w:cs="宋体"/>
          <w:color w:val="auto"/>
        </w:rPr>
      </w:pPr>
      <w:bookmarkStart w:id="150" w:name="_Toc4184"/>
      <w:r>
        <w:rPr>
          <w:rFonts w:cs="宋体"/>
          <w:color w:val="auto"/>
        </w:rPr>
        <w:t>劳动保护</w:t>
      </w:r>
      <w:r>
        <w:rPr>
          <w:rFonts w:hint="eastAsia"/>
          <w:color w:val="auto"/>
          <w:highlight w:val="none"/>
          <w:lang w:eastAsia="zh-CN"/>
        </w:rPr>
        <w:t>、职业安全与卫生</w:t>
      </w:r>
      <w:bookmarkEnd w:id="150"/>
    </w:p>
    <w:p>
      <w:pPr>
        <w:pStyle w:val="39"/>
        <w:numPr>
          <w:ilvl w:val="1"/>
          <w:numId w:val="9"/>
        </w:numPr>
        <w:rPr>
          <w:rFonts w:cs="宋体" w:asciiTheme="minorEastAsia" w:hAnsiTheme="minorEastAsia" w:eastAsiaTheme="minorEastAsia"/>
          <w:color w:val="auto"/>
          <w:sz w:val="28"/>
          <w:szCs w:val="28"/>
        </w:rPr>
      </w:pPr>
      <w:bookmarkStart w:id="151" w:name="_Toc12469"/>
      <w:bookmarkStart w:id="152" w:name="_Toc21668"/>
      <w:r>
        <w:rPr>
          <w:rFonts w:cs="宋体" w:asciiTheme="minorEastAsia" w:hAnsiTheme="minorEastAsia" w:eastAsiaTheme="minorEastAsia"/>
          <w:color w:val="auto"/>
          <w:sz w:val="28"/>
          <w:szCs w:val="28"/>
        </w:rPr>
        <w:t>劳动保护及卫生安全</w:t>
      </w:r>
      <w:bookmarkEnd w:id="151"/>
      <w:bookmarkEnd w:id="152"/>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按照国家住建部《关于印发&lt;危险性较大的分部分项工程安全管理办法的通知&gt;》（建质[2009]87号）和《广州建设工程文明施工管理规定》（广州市政府令第62号）的规定。在设计中严格遵循《工业企业设计卫生标准》、《建筑设计防火规范》及其它设计规范和标准。</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（1）施工过程中，应采取以下防范措施：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凡是涉及到市政污水管道（井）人工挖孔桩等可能发生有害气体中毒的工程，施工（维护）单位必须编制专项施工方案，经监理单位签字后方可实施；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工地现场负责人要在作业人员进入市政污水管道（井）等作业环境前，认真向现场作业人员进行安全技术交底，并为作业人员配备防毒用具。经仪器检测井下空气符合安全生产标准要求并经工地现场负责人签字确认后，方可下井作业。同时，要采取可靠的通风措施，保证作业面的安全条件。</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施工单位应制定完善施工（维护）中毒事故的应急预案，在作业过程中，要安排专人对作业人员实施作业监护，一旦发生中毒事故，要按照预案科学施救。</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限制淘汰危及安全生产的落后工艺设备，逐步淘汰人工挖孔桩等易造成安全事故的施工工艺。</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（2）在管网维护过程中，应采取如下安全措施：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对凡要进入管道内或泵房池子内工作的人员，应按有限空间作业规程操作，采取如下措施：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首先填写下井下池操作表，对操作工人进行安全教育；</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由专人在工作场地监测H2S，急救车辆停在检修点旁；</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重大检修采用GF2下水装置；</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提高营养保健费用，增强工人体质；</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5</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定期监测污水管内气体，拟对污水系统维修防护技术措施进行研究。</w:t>
      </w:r>
    </w:p>
    <w:p>
      <w:pPr>
        <w:pStyle w:val="39"/>
        <w:numPr>
          <w:ilvl w:val="1"/>
          <w:numId w:val="9"/>
        </w:numPr>
        <w:rPr>
          <w:rFonts w:hint="eastAsia" w:cs="宋体" w:asciiTheme="minorEastAsia" w:hAnsiTheme="minorEastAsia" w:eastAsiaTheme="minorEastAsia"/>
          <w:color w:val="auto"/>
          <w:sz w:val="28"/>
          <w:szCs w:val="28"/>
          <w:lang w:val="en-US" w:eastAsia="zh-CN"/>
        </w:rPr>
      </w:pPr>
      <w:bookmarkStart w:id="153" w:name="_Toc70359118"/>
      <w:bookmarkStart w:id="154" w:name="_Toc9908"/>
      <w:bookmarkStart w:id="155" w:name="_Toc118366722"/>
      <w:bookmarkStart w:id="156" w:name="_Toc14982"/>
      <w:r>
        <w:rPr>
          <w:rFonts w:hint="eastAsia" w:cs="宋体" w:asciiTheme="minorEastAsia" w:hAnsiTheme="minorEastAsia" w:eastAsiaTheme="minorEastAsia"/>
          <w:color w:val="auto"/>
          <w:sz w:val="28"/>
          <w:szCs w:val="28"/>
          <w:lang w:val="en-US" w:eastAsia="zh-CN"/>
        </w:rPr>
        <w:t>安全施工</w:t>
      </w:r>
      <w:bookmarkEnd w:id="153"/>
      <w:bookmarkEnd w:id="154"/>
      <w:bookmarkEnd w:id="155"/>
      <w:bookmarkEnd w:id="156"/>
    </w:p>
    <w:p>
      <w:pPr>
        <w:pStyle w:val="12"/>
        <w:rPr>
          <w:rFonts w:hint="eastAsia"/>
          <w:color w:val="auto"/>
        </w:rPr>
      </w:pPr>
      <w:r>
        <w:rPr>
          <w:rFonts w:hint="eastAsia"/>
          <w:color w:val="auto"/>
        </w:rPr>
        <w:t>安全施工目标：零事故。</w:t>
      </w:r>
    </w:p>
    <w:p>
      <w:pPr>
        <w:pStyle w:val="40"/>
        <w:numPr>
          <w:ilvl w:val="2"/>
          <w:numId w:val="9"/>
        </w:numPr>
        <w:rPr>
          <w:rFonts w:hint="eastAsia" w:cs="宋体" w:asciiTheme="minorEastAsia" w:hAnsiTheme="minorEastAsia" w:eastAsiaTheme="minorEastAsia"/>
          <w:color w:val="auto"/>
          <w:sz w:val="28"/>
          <w:szCs w:val="28"/>
          <w:lang w:val="en-US" w:eastAsia="zh-CN"/>
        </w:rPr>
      </w:pPr>
      <w:r>
        <w:rPr>
          <w:rFonts w:hint="eastAsia" w:cs="宋体" w:asciiTheme="minorEastAsia" w:hAnsiTheme="minorEastAsia" w:eastAsiaTheme="minorEastAsia"/>
          <w:color w:val="auto"/>
          <w:sz w:val="28"/>
          <w:szCs w:val="28"/>
          <w:lang w:val="en-US" w:eastAsia="zh-CN"/>
        </w:rPr>
        <w:t>安全保证体系</w:t>
      </w:r>
    </w:p>
    <w:p>
      <w:pPr>
        <w:pStyle w:val="12"/>
        <w:rPr>
          <w:rFonts w:hint="eastAsia"/>
          <w:color w:val="auto"/>
        </w:rPr>
      </w:pPr>
      <w:r>
        <w:rPr>
          <w:rFonts w:hint="eastAsia"/>
          <w:color w:val="auto"/>
        </w:rPr>
        <w:t>建立健全安全生产管理制度</w:t>
      </w:r>
    </w:p>
    <w:p>
      <w:pPr>
        <w:pStyle w:val="12"/>
        <w:rPr>
          <w:rFonts w:hint="eastAsia"/>
          <w:color w:val="auto"/>
        </w:rPr>
      </w:pPr>
      <w:r>
        <w:rPr>
          <w:rFonts w:hint="eastAsia"/>
          <w:color w:val="auto"/>
        </w:rPr>
        <w:t>安全生产责任制重于泰山，我们要贯彻“安全第一，预防为主”的方针，坚持“管生产必须管安全”和“谁主管谁负责”的原则，从组织上、制度上、行动上认真落实。根据国家有关安全生产的政策、法律、法规、条例　和标准，结合工程项目经理部的实际情况，制定项目经理部安全生产管理制度。严格按照安全保证体系运行，预防和杜绝各类事故为保证施工安全制定如下措施：</w:t>
      </w:r>
    </w:p>
    <w:p>
      <w:pPr>
        <w:pStyle w:val="12"/>
        <w:rPr>
          <w:rFonts w:hint="eastAsia"/>
          <w:color w:val="auto"/>
        </w:rPr>
      </w:pPr>
      <w:r>
        <w:rPr>
          <w:rFonts w:hint="eastAsia"/>
          <w:color w:val="auto"/>
        </w:rPr>
        <w:t>树立“安全第一”的思想，加强安全管理机构，</w:t>
      </w:r>
      <w:r>
        <w:rPr>
          <w:rFonts w:hint="eastAsia"/>
          <w:color w:val="auto"/>
          <w:lang w:val="en-US" w:eastAsia="zh-CN"/>
        </w:rPr>
        <w:t>施工单位</w:t>
      </w:r>
      <w:r>
        <w:rPr>
          <w:rFonts w:hint="eastAsia"/>
          <w:color w:val="auto"/>
        </w:rPr>
        <w:t>安全工作实行三级管理。</w:t>
      </w:r>
      <w:r>
        <w:rPr>
          <w:rFonts w:hint="eastAsia"/>
          <w:color w:val="auto"/>
          <w:lang w:val="en-US" w:eastAsia="zh-CN"/>
        </w:rPr>
        <w:t>施工单位</w:t>
      </w:r>
      <w:r>
        <w:rPr>
          <w:rFonts w:hint="eastAsia"/>
          <w:color w:val="auto"/>
        </w:rPr>
        <w:t>成立以经理为主任的安全生产委员会，设立专职安全员，项目部成立以项目经理为组长的安全领导小组，施工队班组设安全员，队长全面负责施工安全工作，严格执行值班制度。</w:t>
      </w:r>
    </w:p>
    <w:p>
      <w:pPr>
        <w:pStyle w:val="12"/>
        <w:rPr>
          <w:rFonts w:hint="eastAsia"/>
          <w:color w:val="auto"/>
        </w:rPr>
      </w:pPr>
      <w:r>
        <w:rPr>
          <w:rFonts w:hint="eastAsia"/>
          <w:color w:val="auto"/>
        </w:rPr>
        <w:t>建立安全生产保证体系，根据安全目标，层层抓安全，</w:t>
      </w:r>
      <w:r>
        <w:rPr>
          <w:rFonts w:hint="eastAsia"/>
          <w:color w:val="auto"/>
          <w:lang w:val="en-US" w:eastAsia="zh-CN"/>
        </w:rPr>
        <w:t>单位</w:t>
      </w:r>
      <w:r>
        <w:rPr>
          <w:rFonts w:hint="eastAsia"/>
          <w:color w:val="auto"/>
        </w:rPr>
        <w:t>与项目部，项目部与施工队，施工队与班组分别签订安全责任书，层层落实安全责任。</w:t>
      </w:r>
    </w:p>
    <w:p>
      <w:pPr>
        <w:pStyle w:val="12"/>
        <w:rPr>
          <w:rFonts w:hint="eastAsia"/>
          <w:color w:val="auto"/>
        </w:rPr>
      </w:pPr>
      <w:r>
        <w:rPr>
          <w:rFonts w:hint="eastAsia"/>
          <w:color w:val="auto"/>
        </w:rPr>
        <w:t>建立各岗位人员安全生产管理制度，明确安全责任，做到纵向到底，横向到边，各自做好本岗位的安全工作，实行安全奖罚制度。坚持特殊工种持证上岗制度，杜绝无证上岗操作行为。</w:t>
      </w:r>
    </w:p>
    <w:p>
      <w:pPr>
        <w:pStyle w:val="12"/>
        <w:rPr>
          <w:rFonts w:hint="eastAsia"/>
          <w:color w:val="auto"/>
        </w:rPr>
      </w:pPr>
      <w:r>
        <w:rPr>
          <w:rFonts w:hint="eastAsia"/>
          <w:color w:val="auto"/>
        </w:rPr>
        <w:t>对施工机械设备加强维修与保养，选用符合施工技术和安全规定的施工机具，坚持安全挂牌制。</w:t>
      </w:r>
    </w:p>
    <w:p>
      <w:pPr>
        <w:pStyle w:val="12"/>
        <w:rPr>
          <w:rFonts w:hint="eastAsia"/>
          <w:color w:val="auto"/>
        </w:rPr>
      </w:pPr>
      <w:r>
        <w:rPr>
          <w:rFonts w:hint="eastAsia"/>
          <w:color w:val="auto"/>
        </w:rPr>
        <w:t>做好安全宣传工作，现场设立安全标志、标语，随时注意安全生产。</w:t>
      </w:r>
    </w:p>
    <w:p>
      <w:pPr>
        <w:pStyle w:val="12"/>
        <w:rPr>
          <w:rFonts w:hint="eastAsia"/>
          <w:color w:val="auto"/>
        </w:rPr>
      </w:pPr>
      <w:r>
        <w:rPr>
          <w:rFonts w:hint="eastAsia"/>
          <w:color w:val="auto"/>
        </w:rPr>
        <w:t>加强施工现场安全教育与培训</w:t>
      </w:r>
    </w:p>
    <w:p>
      <w:pPr>
        <w:pStyle w:val="12"/>
        <w:rPr>
          <w:rFonts w:hint="eastAsia"/>
          <w:color w:val="auto"/>
        </w:rPr>
      </w:pPr>
      <w:r>
        <w:rPr>
          <w:rFonts w:hint="eastAsia"/>
          <w:color w:val="auto"/>
        </w:rPr>
        <w:t>开工前，加强安全教育制度，实行三级安全教育，提高操作者的安全意识和自保、互保能力，牢固树立“安全高于一切”的思想。</w:t>
      </w:r>
    </w:p>
    <w:p>
      <w:pPr>
        <w:pStyle w:val="12"/>
        <w:rPr>
          <w:rFonts w:hint="eastAsia"/>
          <w:color w:val="auto"/>
        </w:rPr>
      </w:pPr>
      <w:r>
        <w:rPr>
          <w:rFonts w:hint="eastAsia"/>
          <w:color w:val="auto"/>
        </w:rPr>
        <w:t>要对上岗人员进行安全和法规教育，尤其对民工要进行岗位培训，做好安全宣传，增强每个人的安全意识，遵守安全管理制度，提高安全防范意识做好宣传工作。</w:t>
      </w:r>
    </w:p>
    <w:p>
      <w:pPr>
        <w:pStyle w:val="12"/>
        <w:rPr>
          <w:rFonts w:hint="eastAsia"/>
          <w:color w:val="auto"/>
        </w:rPr>
      </w:pPr>
      <w:r>
        <w:rPr>
          <w:rFonts w:hint="eastAsia"/>
          <w:color w:val="auto"/>
        </w:rPr>
        <w:t>技术交底同时要进行安全交底，详细讲解施工顺序，工艺流程，安全注意事项及关键部位的安全操作要领，使每一位上岗人员熟悉安全操作规程和要求。</w:t>
      </w:r>
    </w:p>
    <w:p>
      <w:pPr>
        <w:pStyle w:val="12"/>
        <w:rPr>
          <w:rFonts w:hint="eastAsia"/>
          <w:color w:val="auto"/>
        </w:rPr>
      </w:pPr>
      <w:r>
        <w:rPr>
          <w:rFonts w:hint="eastAsia"/>
          <w:color w:val="auto"/>
        </w:rPr>
        <w:t>认真执行检查制度</w:t>
      </w:r>
    </w:p>
    <w:p>
      <w:pPr>
        <w:pStyle w:val="12"/>
        <w:rPr>
          <w:rFonts w:hint="eastAsia"/>
          <w:color w:val="auto"/>
        </w:rPr>
      </w:pPr>
      <w:r>
        <w:rPr>
          <w:rFonts w:hint="eastAsia"/>
          <w:color w:val="auto"/>
        </w:rPr>
        <w:t>项目经理保证检查制度的落实，规定定期检查日期、参加人员，定期进行安全检查，召开安全例会，对违章作业行为及时纠正，项目部每周查一次，施工队班前班后检查，作业前要讲安全，完工后查安全，做好安全检查记录，提出解决意见，消除事故隐患。</w:t>
      </w:r>
    </w:p>
    <w:p>
      <w:pPr>
        <w:pStyle w:val="12"/>
        <w:rPr>
          <w:rFonts w:hint="eastAsia"/>
          <w:color w:val="auto"/>
        </w:rPr>
      </w:pPr>
      <w:r>
        <w:rPr>
          <w:rFonts w:hint="eastAsia"/>
          <w:color w:val="auto"/>
        </w:rPr>
        <w:t>对特殊施工部位、特殊设备、施工危险性大的工序及节假日进行非定期检查。</w:t>
      </w:r>
    </w:p>
    <w:p>
      <w:pPr>
        <w:pStyle w:val="12"/>
        <w:rPr>
          <w:rFonts w:hint="eastAsia"/>
          <w:color w:val="auto"/>
        </w:rPr>
      </w:pPr>
      <w:r>
        <w:rPr>
          <w:rFonts w:hint="eastAsia"/>
          <w:color w:val="auto"/>
        </w:rPr>
        <w:t>坚持贯彻落实有效的安全管理制度，主要包括：安全生产责任制，安全培训教育制度，安全例会制，安全施工交底制度，安全检查及奖罚制度，设备安全用电制度及事故报告处理制度。</w:t>
      </w:r>
    </w:p>
    <w:p>
      <w:pPr>
        <w:pStyle w:val="40"/>
        <w:numPr>
          <w:ilvl w:val="2"/>
          <w:numId w:val="9"/>
        </w:numPr>
        <w:rPr>
          <w:rFonts w:hint="eastAsia" w:cs="宋体" w:asciiTheme="minorEastAsia" w:hAnsiTheme="minorEastAsia" w:eastAsiaTheme="minorEastAsia"/>
          <w:color w:val="auto"/>
          <w:sz w:val="28"/>
          <w:szCs w:val="28"/>
          <w:lang w:val="en-US" w:eastAsia="zh-CN"/>
        </w:rPr>
      </w:pPr>
      <w:r>
        <w:rPr>
          <w:rFonts w:hint="eastAsia" w:cs="宋体" w:asciiTheme="minorEastAsia" w:hAnsiTheme="minorEastAsia" w:eastAsiaTheme="minorEastAsia"/>
          <w:color w:val="auto"/>
          <w:sz w:val="28"/>
          <w:szCs w:val="28"/>
          <w:lang w:val="en-US" w:eastAsia="zh-CN"/>
        </w:rPr>
        <w:t>安全技术保证措施</w:t>
      </w:r>
    </w:p>
    <w:p>
      <w:pPr>
        <w:pStyle w:val="12"/>
        <w:rPr>
          <w:rFonts w:hint="eastAsia"/>
          <w:color w:val="auto"/>
        </w:rPr>
      </w:pPr>
      <w:r>
        <w:rPr>
          <w:rFonts w:hint="eastAsia"/>
          <w:color w:val="auto"/>
        </w:rPr>
        <w:t>（一）施工现场安全技术措施</w:t>
      </w:r>
    </w:p>
    <w:p>
      <w:pPr>
        <w:pStyle w:val="12"/>
        <w:rPr>
          <w:rFonts w:hint="eastAsia"/>
          <w:color w:val="auto"/>
        </w:rPr>
      </w:pPr>
      <w:r>
        <w:rPr>
          <w:rFonts w:hint="eastAsia"/>
          <w:color w:val="auto"/>
        </w:rPr>
        <w:t>施工现场的布置应符合防火、防风、防触电等安全规定及安全施工的要求，施工现场的生产、生活用房、仓库、材料堆放场地、机械停放场等按业主批准的平面图进行布置。</w:t>
      </w:r>
    </w:p>
    <w:p>
      <w:pPr>
        <w:pStyle w:val="12"/>
        <w:rPr>
          <w:rFonts w:hint="eastAsia"/>
          <w:color w:val="auto"/>
        </w:rPr>
      </w:pPr>
      <w:r>
        <w:rPr>
          <w:rFonts w:hint="eastAsia"/>
          <w:color w:val="auto"/>
        </w:rPr>
        <w:t>现场的生产、生活区要设足够的消防水源和消防设施网点，消防器材专人管理。</w:t>
      </w:r>
    </w:p>
    <w:p>
      <w:pPr>
        <w:pStyle w:val="12"/>
        <w:rPr>
          <w:rFonts w:hint="eastAsia"/>
          <w:color w:val="auto"/>
        </w:rPr>
      </w:pPr>
      <w:r>
        <w:rPr>
          <w:rFonts w:hint="eastAsia"/>
          <w:color w:val="auto"/>
        </w:rPr>
        <w:t>施工现场的临时用电严格按用电安全技术操作规程执行。临时用电线路的安装、维修、拆除，均由经过培训并取得上岗证电工完成，非电工不得进行电工作业。</w:t>
      </w:r>
    </w:p>
    <w:p>
      <w:pPr>
        <w:pStyle w:val="12"/>
        <w:rPr>
          <w:rFonts w:hint="eastAsia"/>
          <w:color w:val="auto"/>
        </w:rPr>
      </w:pPr>
      <w:r>
        <w:rPr>
          <w:rFonts w:hint="eastAsia"/>
          <w:color w:val="auto"/>
        </w:rPr>
        <w:t>场内架设的电缆线路悬挂高度符合安全规定，并架设在专用电杆上。检修线路必须停电作业。</w:t>
      </w:r>
    </w:p>
    <w:p>
      <w:pPr>
        <w:pStyle w:val="12"/>
        <w:rPr>
          <w:rFonts w:hint="eastAsia"/>
          <w:color w:val="auto"/>
        </w:rPr>
      </w:pPr>
      <w:r>
        <w:rPr>
          <w:rFonts w:hint="eastAsia"/>
          <w:color w:val="auto"/>
        </w:rPr>
        <w:t>安全员在施工期间负责控制人的不安全因素和物的不安全状态，对有可能出现的安全隐患有权终止施工，及时采取措施，确保施工安全全过程。</w:t>
      </w:r>
    </w:p>
    <w:p>
      <w:pPr>
        <w:pStyle w:val="12"/>
        <w:rPr>
          <w:rFonts w:hint="eastAsia"/>
          <w:color w:val="auto"/>
        </w:rPr>
      </w:pPr>
      <w:r>
        <w:rPr>
          <w:rFonts w:hint="eastAsia"/>
          <w:color w:val="auto"/>
        </w:rPr>
        <w:t>沟下作业人员必须佩带安全帽，上下沟槽应设安全梯，不得随意攀爬支撑横杠，严禁在沟下休息。</w:t>
      </w:r>
    </w:p>
    <w:p>
      <w:pPr>
        <w:pStyle w:val="12"/>
        <w:rPr>
          <w:rFonts w:hint="eastAsia"/>
          <w:color w:val="auto"/>
        </w:rPr>
      </w:pPr>
      <w:r>
        <w:rPr>
          <w:rFonts w:hint="eastAsia"/>
          <w:color w:val="auto"/>
        </w:rPr>
        <w:t>道路交叉口施工时，做好交通分流，设置安全标志，悬挂警示灯，且沟边1M内不得堆放杂物，以免物品落入坑内伤人，保证交通安全。</w:t>
      </w:r>
    </w:p>
    <w:p>
      <w:pPr>
        <w:pStyle w:val="12"/>
        <w:rPr>
          <w:rFonts w:hint="eastAsia"/>
          <w:color w:val="auto"/>
        </w:rPr>
      </w:pPr>
      <w:r>
        <w:rPr>
          <w:rFonts w:hint="eastAsia"/>
          <w:color w:val="auto"/>
        </w:rPr>
        <w:t>管材运输时不得超高，吊管时，专人指挥，吊装工具安全牢固，管子吊装时，管下严禁站人。</w:t>
      </w:r>
    </w:p>
    <w:p>
      <w:pPr>
        <w:pStyle w:val="12"/>
        <w:rPr>
          <w:rFonts w:hint="eastAsia"/>
          <w:color w:val="auto"/>
        </w:rPr>
      </w:pPr>
      <w:r>
        <w:rPr>
          <w:rFonts w:hint="eastAsia"/>
          <w:color w:val="auto"/>
        </w:rPr>
        <w:t>安全用电措施：</w:t>
      </w:r>
    </w:p>
    <w:p>
      <w:pPr>
        <w:pStyle w:val="12"/>
        <w:rPr>
          <w:rFonts w:hint="eastAsia"/>
          <w:color w:val="auto"/>
        </w:rPr>
      </w:pPr>
      <w:r>
        <w:rPr>
          <w:rFonts w:hint="eastAsia"/>
          <w:color w:val="auto"/>
        </w:rPr>
        <w:t>施工用电，采用TN-S系统供电，设立总配电箱加锁，设专人负责，统一分段设配电箱，安装漏电保护器，并确保接零接地，坚持每天巡查，发现问题及时处理。　</w:t>
      </w:r>
    </w:p>
    <w:p>
      <w:pPr>
        <w:pStyle w:val="12"/>
        <w:rPr>
          <w:rFonts w:hint="eastAsia"/>
          <w:color w:val="auto"/>
        </w:rPr>
      </w:pPr>
      <w:r>
        <w:rPr>
          <w:rFonts w:hint="eastAsia"/>
          <w:color w:val="auto"/>
        </w:rPr>
        <w:t>检查用电线路，必须由两人以上进行，作好监护，持证上岗，水电工人员严禁动用机电设备。</w:t>
      </w:r>
    </w:p>
    <w:p>
      <w:pPr>
        <w:pStyle w:val="12"/>
        <w:rPr>
          <w:rFonts w:hint="eastAsia"/>
          <w:color w:val="auto"/>
        </w:rPr>
      </w:pPr>
      <w:r>
        <w:rPr>
          <w:rFonts w:hint="eastAsia"/>
          <w:color w:val="auto"/>
        </w:rPr>
        <w:t>严禁不遵守操作规定，操作电夯必须戴绝缘手套穿绝缘鞋，雨天停止带电作业，机械维修时不许切断电源。</w:t>
      </w:r>
    </w:p>
    <w:p>
      <w:pPr>
        <w:pStyle w:val="12"/>
        <w:rPr>
          <w:rFonts w:hint="eastAsia"/>
          <w:color w:val="auto"/>
        </w:rPr>
      </w:pPr>
      <w:r>
        <w:rPr>
          <w:rFonts w:hint="eastAsia"/>
          <w:color w:val="auto"/>
        </w:rPr>
        <w:t>夜间施工要有足够的照明，沟槽或管内照明，使用行灯或手电。</w:t>
      </w:r>
    </w:p>
    <w:p>
      <w:pPr>
        <w:pStyle w:val="12"/>
        <w:rPr>
          <w:rFonts w:hint="eastAsia"/>
          <w:color w:val="auto"/>
        </w:rPr>
      </w:pPr>
      <w:r>
        <w:rPr>
          <w:rFonts w:hint="eastAsia"/>
          <w:color w:val="auto"/>
        </w:rPr>
        <w:t>临电用电线路必须架设在绝缘瓶上，高度要大于3米，不得随地拖拉，工地禁止乱接乱拉电线。</w:t>
      </w:r>
    </w:p>
    <w:p>
      <w:pPr>
        <w:pStyle w:val="12"/>
        <w:rPr>
          <w:rFonts w:hint="eastAsia"/>
          <w:color w:val="auto"/>
        </w:rPr>
      </w:pPr>
      <w:r>
        <w:rPr>
          <w:rFonts w:hint="eastAsia"/>
          <w:color w:val="auto"/>
        </w:rPr>
        <w:t>起吊用钢丝绳吊钩卡口应合理牢固，保证安全可靠，起吊时严禁吊物下站人，回旋区域通畅。</w:t>
      </w:r>
    </w:p>
    <w:p>
      <w:pPr>
        <w:pStyle w:val="12"/>
        <w:rPr>
          <w:rFonts w:hint="eastAsia"/>
          <w:color w:val="auto"/>
        </w:rPr>
      </w:pPr>
      <w:r>
        <w:rPr>
          <w:rFonts w:hint="eastAsia"/>
          <w:color w:val="auto"/>
        </w:rPr>
        <w:t xml:space="preserve"> 工地办公室、工棚、库房要配备足够的防火设施，不得存放易燃易爆物品，加强值班，防止以外事故和财务丢失。</w:t>
      </w:r>
    </w:p>
    <w:p>
      <w:pPr>
        <w:pStyle w:val="12"/>
        <w:rPr>
          <w:rFonts w:hint="eastAsia"/>
          <w:color w:val="auto"/>
        </w:rPr>
      </w:pPr>
      <w:r>
        <w:rPr>
          <w:rFonts w:hint="eastAsia"/>
          <w:color w:val="auto"/>
        </w:rPr>
        <w:t>加强雨季施工安全检查教育工作，搞好“五防”工作，即：防火、防盗、防投毒、防事故、防破坏。</w:t>
      </w:r>
    </w:p>
    <w:p>
      <w:pPr>
        <w:pStyle w:val="12"/>
        <w:rPr>
          <w:rFonts w:hint="eastAsia"/>
          <w:color w:val="auto"/>
        </w:rPr>
      </w:pPr>
      <w:r>
        <w:rPr>
          <w:rFonts w:hint="eastAsia"/>
          <w:color w:val="auto"/>
        </w:rPr>
        <w:t>（二）施工机械的安全控制措施</w:t>
      </w:r>
    </w:p>
    <w:p>
      <w:pPr>
        <w:pStyle w:val="12"/>
        <w:rPr>
          <w:rFonts w:hint="eastAsia"/>
          <w:color w:val="auto"/>
        </w:rPr>
      </w:pPr>
      <w:r>
        <w:rPr>
          <w:rFonts w:hint="eastAsia"/>
          <w:color w:val="auto"/>
        </w:rPr>
        <w:t>各种机械操作人员和车辆驾驶员必须持证驾驶，不准操作不相符合的机械，严禁无证驾驶。</w:t>
      </w:r>
    </w:p>
    <w:p>
      <w:pPr>
        <w:pStyle w:val="12"/>
        <w:rPr>
          <w:rFonts w:hint="eastAsia"/>
          <w:color w:val="auto"/>
        </w:rPr>
      </w:pPr>
      <w:r>
        <w:rPr>
          <w:rFonts w:hint="eastAsia"/>
          <w:color w:val="auto"/>
        </w:rPr>
        <w:t>操作人员必须按照机械操作规定，严格执行工作前的检查制度和工作中注意观察及工作后的检查保养制度。</w:t>
      </w:r>
    </w:p>
    <w:p>
      <w:pPr>
        <w:pStyle w:val="12"/>
        <w:rPr>
          <w:rFonts w:hint="eastAsia"/>
          <w:color w:val="auto"/>
        </w:rPr>
      </w:pPr>
      <w:r>
        <w:rPr>
          <w:rFonts w:hint="eastAsia"/>
          <w:color w:val="auto"/>
        </w:rPr>
        <w:t>指挥施工机械的人员必须站在安全地点并应明确规定指挥联络信号。</w:t>
      </w:r>
    </w:p>
    <w:p>
      <w:pPr>
        <w:pStyle w:val="12"/>
        <w:rPr>
          <w:rFonts w:hint="eastAsia"/>
          <w:color w:val="auto"/>
        </w:rPr>
      </w:pPr>
      <w:r>
        <w:rPr>
          <w:rFonts w:hint="eastAsia"/>
          <w:color w:val="auto"/>
        </w:rPr>
        <w:t>定期组织机电设备、车辆安全检查，对检查中查出的问题，进行调查处理，制定防范措施，防止机械事故的发生。</w:t>
      </w:r>
    </w:p>
    <w:p>
      <w:pPr>
        <w:pStyle w:val="39"/>
        <w:numPr>
          <w:ilvl w:val="1"/>
          <w:numId w:val="9"/>
        </w:numPr>
        <w:rPr>
          <w:rFonts w:cs="宋体" w:asciiTheme="minorEastAsia" w:hAnsiTheme="minorEastAsia" w:eastAsiaTheme="minorEastAsia"/>
          <w:color w:val="auto"/>
          <w:sz w:val="28"/>
          <w:szCs w:val="28"/>
        </w:rPr>
      </w:pPr>
      <w:bookmarkStart w:id="157" w:name="_Toc16701"/>
      <w:bookmarkStart w:id="158" w:name="_Toc28928"/>
      <w:r>
        <w:rPr>
          <w:rFonts w:hint="eastAsia" w:cs="宋体" w:asciiTheme="minorEastAsia" w:hAnsiTheme="minorEastAsia" w:eastAsiaTheme="minorEastAsia"/>
          <w:color w:val="auto"/>
          <w:sz w:val="28"/>
          <w:szCs w:val="28"/>
          <w:lang w:eastAsia="zh-CN"/>
        </w:rPr>
        <w:t>施工管理</w:t>
      </w:r>
      <w:r>
        <w:rPr>
          <w:rFonts w:cs="宋体" w:asciiTheme="minorEastAsia" w:hAnsiTheme="minorEastAsia" w:eastAsiaTheme="minorEastAsia"/>
          <w:color w:val="auto"/>
          <w:sz w:val="28"/>
          <w:szCs w:val="28"/>
        </w:rPr>
        <w:t>安全技术要求</w:t>
      </w:r>
      <w:bookmarkEnd w:id="157"/>
      <w:bookmarkEnd w:id="158"/>
    </w:p>
    <w:p>
      <w:pPr>
        <w:pStyle w:val="40"/>
        <w:numPr>
          <w:ilvl w:val="2"/>
          <w:numId w:val="9"/>
        </w:numPr>
        <w:rPr>
          <w:rFonts w:cs="宋体" w:asciiTheme="minorEastAsia" w:hAnsiTheme="minorEastAsia" w:eastAsiaTheme="minorEastAsia"/>
          <w:color w:val="auto"/>
          <w:sz w:val="28"/>
          <w:szCs w:val="28"/>
        </w:rPr>
      </w:pPr>
      <w:bookmarkStart w:id="159" w:name="_Toc7339"/>
      <w:r>
        <w:rPr>
          <w:rFonts w:cs="宋体" w:asciiTheme="minorEastAsia" w:hAnsiTheme="minorEastAsia" w:eastAsiaTheme="minorEastAsia"/>
          <w:color w:val="auto"/>
          <w:sz w:val="28"/>
          <w:szCs w:val="28"/>
        </w:rPr>
        <w:t>结构专业</w:t>
      </w:r>
      <w:bookmarkEnd w:id="159"/>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本工程跨越或下穿铁路、高速公路、桥梁；毗邻边坡路堤、河流；场地周边环境有桥梁、隧道、建筑物、货运站场、学校、公园、医院及大型客运站等人流密集场所，施工单位进场后，应逐一查明工程场区周边状况，重视施工过程对周边环境可能造成的人员、物体破坏的安全影响，对跨越重要设施、线路（航道、铁路）等施工方案需报主管部门审批后方可实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施工单位应根据《建筑施工安全规范》（2008年版），结合工程场地的情况、施工作业内容、设计文件要求等，提出本工程的安全风险源，制定有针对性的施工安全专项方案及作业指导书，在组织架构、施工方案、工艺流程、监管机制、应急预案等方面，提出相应措施及管理细则，交监理及有关安监部门审批备案，经批准后方可施工，并在实施中切实遵照执行。</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本工程范围内有地下电缆、光纤缆线、供水管、</w:t>
      </w:r>
      <w:r>
        <w:rPr>
          <w:rFonts w:hint="eastAsia" w:cs="宋体" w:asciiTheme="minorEastAsia" w:hAnsiTheme="minorEastAsia" w:eastAsiaTheme="minorEastAsia"/>
          <w:color w:val="auto"/>
          <w:sz w:val="28"/>
          <w:szCs w:val="21"/>
          <w:lang w:eastAsia="zh-CN"/>
        </w:rPr>
        <w:t>合流</w:t>
      </w:r>
      <w:r>
        <w:rPr>
          <w:rFonts w:cs="宋体" w:asciiTheme="minorEastAsia" w:hAnsiTheme="minorEastAsia" w:eastAsiaTheme="minorEastAsia"/>
          <w:color w:val="auto"/>
          <w:sz w:val="28"/>
          <w:szCs w:val="21"/>
        </w:rPr>
        <w:t>管等，施工前，应与有关管线单位协调好施工安全事宜。</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凡对地下土层进行开槽、钻孔、地基处理等工序前，需对地面以下3米深度范围进行人工探挖，确认无地下管线和地下建（构）筑物后方可施工。</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高压线下桩机（含钻孔、冲孔、旋挖、搅拌、旋喷、静压、锤击、振冲等各种工艺）及其他机械施工，应满足各种施工机械与高压线的安全距离，并做好防电、防雷措施。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应制定一整套适合施工场地方的安全防护措施，包括施工现场的安全、工地正常的生产、生活秩序，如：防风、防雷、防雨、防涝、防火、防工程伤害、治安管理等的安全措施。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应对工人进行岗前安全教育，经考试合格后才能上岗。职工调换工种或使用新工具、新设备时，要进行岗前岗位安全教育和安全操作的培训。</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针对工程的特点、施工外部和内部环境要求，进行安全技术交底。</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严格执行安全生产会议制度、安全检查制度、安全评议制度，对安全生产出现的问题应指定专人限期整改。</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安全检查应做到每日检查、日常检查及不定期抽查。安全检查还包括施工机具检查及各项安全措施的执行情况检查（台风、暴雨、防寒、防暑、雨季、卫生等）。</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严格执行各类机械设备的专人管理和操作制度，各类机械有安全防护设备，机械设备要定期保养，经常检修，使其处于良好的状态。</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现场材料、机械、临设按施工平面图整齐放置或搭设。施工现场的坑、洞、悬空等危险处，必须设置防护设施和明显的警示标志，不准任意移动或拆除。施工区按有关规定建立消防责任制，按照有关防火要求布置临设，配备足够数量的消防器材，并设立明显的防火标志。</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施工现场围蔽必须安全牢靠，并在外面设定警示标志，防止非有关人员进入、防止外来车辆失控闯入。</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水上施工前应向有关水域管理部门送审施工方案，获批后方可实施。所有水上施工的人员、设备均应配备安全防护装置。水域中的临时施工机械设备，应做好应对水中漂浮物的冲撞以及安全度汛的相关措施。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井内作业、管道内作业、通风不良的场地作业，必须在进人之前检查井内是否存在有毒、有害气体，必须确保通风充分、作业环境安全的条件下，施工人员才能进入场地施工。</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在特殊危险和潮湿场合环境中使用携带式电动工具，高度不足2.5m的一般照明灯，如果没有特殊安全结构或安全措施，应采取安全电压。</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除本说明提及的施工安全要求外，施工单位还应根据场地环境、施工工艺特点及安全风险分析，制定相应安全措施，以确保安全。</w:t>
      </w:r>
    </w:p>
    <w:p>
      <w:pPr>
        <w:pStyle w:val="37"/>
        <w:numPr>
          <w:ilvl w:val="3"/>
          <w:numId w:val="9"/>
        </w:numPr>
        <w:rPr>
          <w:rFonts w:cs="宋体" w:asciiTheme="minorEastAsia" w:hAnsiTheme="minorEastAsia" w:eastAsiaTheme="minorEastAsia"/>
          <w:color w:val="auto"/>
          <w:sz w:val="28"/>
          <w:szCs w:val="24"/>
        </w:rPr>
      </w:pPr>
      <w:r>
        <w:rPr>
          <w:rFonts w:cs="宋体" w:asciiTheme="minorEastAsia" w:hAnsiTheme="minorEastAsia" w:eastAsiaTheme="minorEastAsia"/>
          <w:color w:val="auto"/>
          <w:sz w:val="28"/>
          <w:szCs w:val="24"/>
        </w:rPr>
        <w:t>基坑工程</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（1）基坑开挖前，应对基坑三倍开挖深度范围内需进行变形监测的建（构）筑物交由有资质的第三方进行施工前状态测量、结构鉴定，施工过程中按照设计文件有关的技术要求开展监测工作。</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（2）施工单位应根据场地地质条件、周边环境、支护结构及有关技术要求，做好施工组织设计，尤其是针对基坑可能出现的各种险情，制定应急预案并备足有关的抢险物料。</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（3）基坑开挖时，应对基坑支护结构做好结构变形监测，并实行动态信息化管理，监测数据应及时反馈给业主及设计单位。</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（4）为保证支护结构的稳定，严禁在基坑附近堆土，土方施工应做到：挖出多少就运走多少。</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（5）对采用内支撑类型的支护结构，施工单位应严格按照设计文件的要求拆除内支撑。</w:t>
      </w:r>
    </w:p>
    <w:p>
      <w:pPr>
        <w:pStyle w:val="37"/>
        <w:numPr>
          <w:ilvl w:val="3"/>
          <w:numId w:val="9"/>
        </w:numPr>
        <w:rPr>
          <w:rFonts w:cs="宋体" w:asciiTheme="minorEastAsia" w:hAnsiTheme="minorEastAsia" w:eastAsiaTheme="minorEastAsia"/>
          <w:color w:val="auto"/>
          <w:sz w:val="28"/>
          <w:szCs w:val="24"/>
        </w:rPr>
      </w:pPr>
      <w:r>
        <w:rPr>
          <w:rFonts w:cs="宋体" w:asciiTheme="minorEastAsia" w:hAnsiTheme="minorEastAsia" w:eastAsiaTheme="minorEastAsia"/>
          <w:color w:val="auto"/>
          <w:sz w:val="28"/>
          <w:szCs w:val="24"/>
        </w:rPr>
        <w:t>管道工程</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（1）管道采用开挖施工时，应严格按设计要求做好支护措施，防止管槽坍塌，确保管槽支护结构及周边的安全、稳定。</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（2）管道装卸及堆放时，必须设置防止管道滚动的定位块；在管槽内下管时，所用索具要牢固，管槽内不得有人。</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当管道需采用敞开式掘进（俗称：人工顶管）工艺时，必须经过专项评审通过后才能实施，施工过程必须设专人监测各项安全指标，特别在通风、用电、冒水、涌砂、涌泥、抢险、应急预案等各方面要严格按有关规定进行操作。</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（4）沉管施工水下开挖前应摸查开挖范围的水下管线及有关情况，并取得有关部门的施工许可，船上作业人员均应穿着救生和安全防护装备。</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5）管线及渠箱的接驳应根据施工季节考虑其流量、流速，且应留有一定的富余，导流、截流措施必须可靠、有效，对较大型的接驳必须设置2道（种）或以上数量（类型）的导流、截流措施；在拆除导流、截流措施通水之前，应对每道措施的拆除顺序做出严格的安排和控制。</w:t>
      </w:r>
    </w:p>
    <w:p>
      <w:pPr>
        <w:pStyle w:val="37"/>
        <w:numPr>
          <w:ilvl w:val="3"/>
          <w:numId w:val="9"/>
        </w:numPr>
        <w:rPr>
          <w:rFonts w:cs="宋体" w:asciiTheme="minorEastAsia" w:hAnsiTheme="minorEastAsia" w:eastAsiaTheme="minorEastAsia"/>
          <w:color w:val="auto"/>
          <w:sz w:val="28"/>
          <w:szCs w:val="24"/>
        </w:rPr>
      </w:pPr>
      <w:r>
        <w:rPr>
          <w:rFonts w:cs="宋体" w:asciiTheme="minorEastAsia" w:hAnsiTheme="minorEastAsia" w:eastAsiaTheme="minorEastAsia"/>
          <w:color w:val="auto"/>
          <w:sz w:val="28"/>
          <w:szCs w:val="24"/>
        </w:rPr>
        <w:t>建（构）筑物工程</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高支模结构体系的承载力、整体稳定性、支架地基强度、预压荷载及稳定沉降控制标准等，应满足有关施工规范及施工组织方案的要求，并满足施工期可能遭遇的恶劣气候影响；临时保通通行通道的支墩，要加强防撞设施及提前设置限速、限高等预警提示标志等设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（2）高处作业必须搭设脚手架及安全围网；高空作业人员必须系好安全带，并根据实际条件制定出切实可行的安全防范措施。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所有构件的模板必须待其混凝土强度满足设计（施工规范）要求后，才能拆除；当施工阶段的实际使用荷载大于设计使用阶段的荷载时，施工单位必须根据其受力要求，对相关的结构构件设置临时支顶或加固措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（4）回填土必须在结构构件自身强度满足要求时才能开始，回填时应对称、分层压实或夯实，防止土压不平衡导致结构构件破坏；同时，应防止施工机械因回填土松软，造成机械倾覆等安全事故。</w:t>
      </w:r>
    </w:p>
    <w:p>
      <w:pPr>
        <w:pStyle w:val="40"/>
        <w:numPr>
          <w:ilvl w:val="2"/>
          <w:numId w:val="9"/>
        </w:numPr>
        <w:rPr>
          <w:rFonts w:cs="宋体" w:asciiTheme="minorEastAsia" w:hAnsiTheme="minorEastAsia" w:eastAsiaTheme="minorEastAsia"/>
          <w:color w:val="auto"/>
          <w:sz w:val="28"/>
          <w:szCs w:val="28"/>
        </w:rPr>
      </w:pPr>
      <w:bookmarkStart w:id="160" w:name="_Toc8131"/>
      <w:r>
        <w:rPr>
          <w:rFonts w:cs="宋体" w:asciiTheme="minorEastAsia" w:hAnsiTheme="minorEastAsia" w:eastAsiaTheme="minorEastAsia"/>
          <w:color w:val="auto"/>
          <w:sz w:val="28"/>
          <w:szCs w:val="28"/>
        </w:rPr>
        <w:t>给排水专业</w:t>
      </w:r>
      <w:bookmarkEnd w:id="160"/>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（1）给排水管道工程的施工应按设计及相关规范、规程要求进行，遵守有关施工安全、劳动保护、防火、防毒的法律、法规，建立安全管理体系和安全生产责任制，确保安全施工。</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（2）给排水管道工程的建设、养护、维修工程的作业现场应当设置明显标志和安全防护设施。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穿越河道、铁路、桥梁等特殊重要构筑物的给排水管道在施工前应查明工程场区周边状况，重视施工过程对周边环境可能造成的人员、构筑物破坏的安全影响，设计及施工方案需报主管部门审批后方可实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（4）给排水管道工程施工前必须对该道路/地面下的管线进行详细的摸查，相距现有地下管线较近时，须会同相关单位对现有管线的保护、改线和迁移制定可行的方案。</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（5）给排水管道敷设位置与房屋建筑距离较近时，应对房屋建筑进行鉴定，根据所需做好房屋支护，确保安全方可开挖施工。</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（6）给排水管道工程施工期间应合理安排注意临时导水和排水设施，确保施工期间排水顺畅。</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（7）给排水构筑物内的孔洞，应加设盖板或临时栏杆，防止人、物坠落。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（8）检查井内易产生和积累有毒有害气体，下检查井清淤时应按照《广州市排水管理规定》的要求执行，通风充分，在确保安全的情况下人员才能下去。</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（9）排水工程因接触污水、污泥等污染物，应注意卫生措施，避免影响身体健康。</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（10）给水管道必须试验合格，并网运行前进行冲洗和消毒，经检验水质达到标准后，方可允许并网通水投入运行。</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（11）污水、雨污水合流管道及湿陷土、膨胀土、流砂地区的雨水管道，必须经严密性试验合格后方可投入运行。</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（12）给排水管道的维护安全作业应严格按照《城镇供水管网运行、维护及安全技术规程》和《城镇排水管道维护安全技术规程》的要求执行。</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（13）其他未尽事宜，应按照相关安全生产的法律、法规执行。</w:t>
      </w:r>
    </w:p>
    <w:p>
      <w:pPr>
        <w:pStyle w:val="40"/>
        <w:numPr>
          <w:ilvl w:val="2"/>
          <w:numId w:val="9"/>
        </w:numPr>
        <w:rPr>
          <w:rFonts w:cs="宋体" w:asciiTheme="minorEastAsia" w:hAnsiTheme="minorEastAsia" w:eastAsiaTheme="minorEastAsia"/>
          <w:color w:val="auto"/>
          <w:sz w:val="28"/>
          <w:szCs w:val="28"/>
        </w:rPr>
      </w:pPr>
      <w:bookmarkStart w:id="161" w:name="_Toc24834"/>
      <w:r>
        <w:rPr>
          <w:rFonts w:cs="宋体" w:asciiTheme="minorEastAsia" w:hAnsiTheme="minorEastAsia" w:eastAsiaTheme="minorEastAsia"/>
          <w:color w:val="auto"/>
          <w:sz w:val="28"/>
          <w:szCs w:val="28"/>
        </w:rPr>
        <w:t>电气专业</w:t>
      </w:r>
      <w:bookmarkEnd w:id="161"/>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（1）合理选择电气设备，配电设备应采用具有国家权威检测机构认证的合格产品，满足相关产品生产标准，消防设备应获得消防认证。易燃易爆危险的环境中，必须采用防爆产品。</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电气作业人员在进行电气作业前应熟悉作业环境，对存在的潜在隐患、危险采取相应保护措施，防止非专业人员误入和接触带电体，以及施工过程时触电和电气设备损坏。应保证在任何情况下人体不触及带电部分；</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（3）机械施工时，应防止吊车碰击架空带电导体。不得在架空带电线路正下方施工，搭设作业和生活设施；设施位置和操作范围应满足规定的最小安全距离要求。</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（4）现场开挖埋地电缆、管线，需采取停电和迁移外电线路时，必须与有关部门协商，未采取保护措施，严禁施工；在外电架空线路附近开挖时，需采取加固措施，防止外电线路杆倾斜，倒伏等。</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（5）临时电源必须装设漏电保护装置，防止人身触电和设备火灾。</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（6）所有用电设备、机具需做好接地、接零保护。可能遭受雷击和雷电感应的设备需设避雷装置。施工现场的临时用电系统严禁利用大地做相线或零线。PE线上不准装设开关或熔断器。</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（7）正常运行会产生火花和表面温度较高的产品，应远离可燃物或采取必要的隔离措施，按有关规定设置消防器材；需保持安全和操作通道畅通。</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（8）除专业技术人员外，不得擅自更改设备配置和整定参数，保证电气设备的正常使用和绝缘性能，并定期进行测定。</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（9）在特殊危险和潮湿场合环境中使用携带式电动工具，高度不足2.5m的一般照明灯，如果没有特殊安全结构或安全措施，应采取安全电压。</w:t>
      </w:r>
    </w:p>
    <w:p>
      <w:pPr>
        <w:pStyle w:val="40"/>
        <w:numPr>
          <w:ilvl w:val="2"/>
          <w:numId w:val="9"/>
        </w:numPr>
        <w:rPr>
          <w:rFonts w:cs="宋体" w:asciiTheme="minorEastAsia" w:hAnsiTheme="minorEastAsia" w:eastAsiaTheme="minorEastAsia"/>
          <w:color w:val="auto"/>
          <w:sz w:val="28"/>
          <w:szCs w:val="28"/>
        </w:rPr>
      </w:pPr>
      <w:bookmarkStart w:id="162" w:name="_Toc23968"/>
      <w:r>
        <w:rPr>
          <w:rFonts w:cs="宋体" w:asciiTheme="minorEastAsia" w:hAnsiTheme="minorEastAsia" w:eastAsiaTheme="minorEastAsia"/>
          <w:color w:val="auto"/>
          <w:sz w:val="28"/>
          <w:szCs w:val="28"/>
        </w:rPr>
        <w:t>劳动安全</w:t>
      </w:r>
      <w:bookmarkEnd w:id="162"/>
    </w:p>
    <w:p>
      <w:pPr>
        <w:pStyle w:val="37"/>
        <w:numPr>
          <w:ilvl w:val="3"/>
          <w:numId w:val="9"/>
        </w:numPr>
        <w:rPr>
          <w:rFonts w:cs="宋体" w:asciiTheme="minorEastAsia" w:hAnsiTheme="minorEastAsia" w:eastAsiaTheme="minorEastAsia"/>
          <w:color w:val="auto"/>
          <w:sz w:val="28"/>
          <w:szCs w:val="24"/>
        </w:rPr>
      </w:pPr>
      <w:r>
        <w:rPr>
          <w:rFonts w:cs="宋体" w:asciiTheme="minorEastAsia" w:hAnsiTheme="minorEastAsia" w:eastAsiaTheme="minorEastAsia"/>
          <w:color w:val="auto"/>
          <w:sz w:val="28"/>
          <w:szCs w:val="24"/>
        </w:rPr>
        <w:t>一般注意事项</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（1）进入施工现场的人员，均应戴好安全帽。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（2）作业人员上岗必须穿好工作衣、工作鞋，并戴好手套。</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（3）现场应设有休息间，供作业人员工余休息。</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（4）现场应备2</w:t>
      </w:r>
      <w:r>
        <w:rPr>
          <w:rFonts w:hint="eastAsia" w:cs="宋体" w:asciiTheme="minorEastAsia" w:hAnsiTheme="minorEastAsia" w:eastAsiaTheme="minorEastAsia"/>
          <w:color w:val="auto"/>
          <w:sz w:val="28"/>
          <w:szCs w:val="21"/>
          <w:lang w:val="en-US" w:eastAsia="zh-CN"/>
        </w:rPr>
        <w:t>~</w:t>
      </w:r>
      <w:r>
        <w:rPr>
          <w:rFonts w:cs="宋体" w:asciiTheme="minorEastAsia" w:hAnsiTheme="minorEastAsia" w:eastAsiaTheme="minorEastAsia"/>
          <w:color w:val="auto"/>
          <w:sz w:val="28"/>
          <w:szCs w:val="21"/>
        </w:rPr>
        <w:t>3台通风机，改善后勤供应工作。</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（5）由于机电安装和土建交叉施工，应有自我保护意识和相互保护意识，注意开挖沟槽朝天钉子，物体打击等。</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（6）构筑物内的孔洞，应加设盖板或临时栏杆，防止人、物坠落。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（7）特殊工种应持证上岗，并按有关规程进行操作。</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（8）现场临时用电拉线应符合有关规定，接好触电保护器，并有专业电工进行接线。</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（9）现场应设置有关警告标志，张贴安全宣传标志，并对作业人员进行定期安全教育，施工前作好施工安全交底。</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（10）定期进行设备检查和安全用具检查和保养，对不符合要求的应进行整改，杜绝事故隐患。</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（11）现场应有急救医药箱，队医要定期到现场为施工人员看病送药。</w:t>
      </w:r>
    </w:p>
    <w:p>
      <w:pPr>
        <w:pStyle w:val="37"/>
        <w:numPr>
          <w:ilvl w:val="3"/>
          <w:numId w:val="9"/>
        </w:numPr>
        <w:rPr>
          <w:rFonts w:cs="宋体" w:asciiTheme="minorEastAsia" w:hAnsiTheme="minorEastAsia" w:eastAsiaTheme="minorEastAsia"/>
          <w:color w:val="auto"/>
          <w:sz w:val="28"/>
          <w:szCs w:val="24"/>
        </w:rPr>
      </w:pPr>
      <w:r>
        <w:rPr>
          <w:rFonts w:cs="宋体" w:asciiTheme="minorEastAsia" w:hAnsiTheme="minorEastAsia" w:eastAsiaTheme="minorEastAsia"/>
          <w:color w:val="auto"/>
          <w:sz w:val="28"/>
          <w:szCs w:val="24"/>
        </w:rPr>
        <w:t>土方安全措施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（1）施工人员必须按安全技术交底要求进行挖掘作业。</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（2）土方开挖前必须</w:t>
      </w:r>
      <w:r>
        <w:rPr>
          <w:rFonts w:hint="eastAsia" w:cs="宋体" w:asciiTheme="minorEastAsia" w:hAnsiTheme="minorEastAsia" w:eastAsiaTheme="minorEastAsia"/>
          <w:color w:val="auto"/>
          <w:sz w:val="28"/>
          <w:szCs w:val="21"/>
          <w:highlight w:val="none"/>
          <w:lang w:eastAsia="zh-CN"/>
        </w:rPr>
        <w:t>做好降</w:t>
      </w:r>
      <w:r>
        <w:rPr>
          <w:rFonts w:cs="宋体" w:asciiTheme="minorEastAsia" w:hAnsiTheme="minorEastAsia" w:eastAsiaTheme="minorEastAsia"/>
          <w:color w:val="auto"/>
          <w:sz w:val="28"/>
          <w:szCs w:val="21"/>
        </w:rPr>
        <w:t>（排）水。</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（3）挖土应从上而下逐层挖掘，严禁掏挖。</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（4）坑（槽）沟必须</w:t>
      </w:r>
      <w:r>
        <w:rPr>
          <w:rFonts w:cs="宋体" w:asciiTheme="minorEastAsia" w:hAnsiTheme="minorEastAsia" w:eastAsiaTheme="minorEastAsia"/>
          <w:color w:val="auto"/>
          <w:sz w:val="28"/>
          <w:szCs w:val="21"/>
          <w:highlight w:val="none"/>
        </w:rPr>
        <w:t>高置</w:t>
      </w:r>
      <w:r>
        <w:rPr>
          <w:rFonts w:cs="宋体" w:asciiTheme="minorEastAsia" w:hAnsiTheme="minorEastAsia" w:eastAsiaTheme="minorEastAsia"/>
          <w:color w:val="auto"/>
          <w:sz w:val="28"/>
          <w:szCs w:val="21"/>
        </w:rPr>
        <w:t>人员上下坡道或爬梯，严禁在坑壁上掏坑攀登上下。</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（5）开挖坑（糟）深度超过1.5m时，必须根据土质和深度放坡或加可靠支撑。</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（6）土方深度超过2m时，周边必须设两道护身栏杆；危险处，夜间设红色警示灯。</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（7）配合机械挖土、清底、平地、修坡等作业时，不得在机械回转半径以内作业。</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（8）作业时要随时注意检查土壁变化，发现有裂纹或部分塌方，必须采取果断措施，将人员撤离，排除隐患，确保安全。</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（9）坑（槽）沟边1m以内不准堆土、堆料，不准停放机械。</w:t>
      </w:r>
    </w:p>
    <w:p>
      <w:pPr>
        <w:pStyle w:val="37"/>
        <w:numPr>
          <w:ilvl w:val="3"/>
          <w:numId w:val="9"/>
        </w:numPr>
        <w:rPr>
          <w:rFonts w:cs="宋体" w:asciiTheme="minorEastAsia" w:hAnsiTheme="minorEastAsia" w:eastAsiaTheme="minorEastAsia"/>
          <w:color w:val="auto"/>
          <w:sz w:val="28"/>
          <w:szCs w:val="24"/>
        </w:rPr>
      </w:pPr>
      <w:r>
        <w:rPr>
          <w:rFonts w:cs="宋体" w:asciiTheme="minorEastAsia" w:hAnsiTheme="minorEastAsia" w:eastAsiaTheme="minorEastAsia"/>
          <w:color w:val="auto"/>
          <w:sz w:val="28"/>
          <w:szCs w:val="24"/>
        </w:rPr>
        <w:t>高空作业安全注意事项</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（1）防止高空坠落</w:t>
      </w:r>
    </w:p>
    <w:p>
      <w:pPr>
        <w:numPr>
          <w:ilvl w:val="0"/>
          <w:numId w:val="31"/>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作业面应设置安全网。</w:t>
      </w:r>
    </w:p>
    <w:p>
      <w:pPr>
        <w:numPr>
          <w:ilvl w:val="0"/>
          <w:numId w:val="31"/>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高空作业人员应佩戴安全带。</w:t>
      </w:r>
    </w:p>
    <w:p>
      <w:pPr>
        <w:numPr>
          <w:ilvl w:val="0"/>
          <w:numId w:val="31"/>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登高时应有专人监护，登高梯应采用防滑措施。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（2）防止物体打击</w:t>
      </w:r>
    </w:p>
    <w:p>
      <w:pPr>
        <w:numPr>
          <w:ilvl w:val="0"/>
          <w:numId w:val="31"/>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禁止同一垂直面内同时施工。</w:t>
      </w:r>
    </w:p>
    <w:p>
      <w:pPr>
        <w:numPr>
          <w:ilvl w:val="0"/>
          <w:numId w:val="31"/>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高空作业工人，应配有工具袋：工件、工具应用吊篮运送。</w:t>
      </w:r>
    </w:p>
    <w:p>
      <w:pPr>
        <w:numPr>
          <w:ilvl w:val="0"/>
          <w:numId w:val="31"/>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进入工地必须戴好安全帽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（3）起重机及电动葫芦吊装注意事项</w:t>
      </w:r>
    </w:p>
    <w:p>
      <w:pPr>
        <w:numPr>
          <w:ilvl w:val="0"/>
          <w:numId w:val="31"/>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电动葫芦吊装进要有专人指挥、统一协调。</w:t>
      </w:r>
    </w:p>
    <w:p>
      <w:pPr>
        <w:numPr>
          <w:ilvl w:val="0"/>
          <w:numId w:val="31"/>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吊装时要平稳，就位时要轻放。</w:t>
      </w:r>
    </w:p>
    <w:p>
      <w:pPr>
        <w:pStyle w:val="37"/>
        <w:numPr>
          <w:ilvl w:val="3"/>
          <w:numId w:val="9"/>
        </w:numPr>
        <w:rPr>
          <w:rFonts w:cs="宋体" w:asciiTheme="minorEastAsia" w:hAnsiTheme="minorEastAsia" w:eastAsiaTheme="minorEastAsia"/>
          <w:color w:val="auto"/>
          <w:sz w:val="28"/>
          <w:szCs w:val="24"/>
        </w:rPr>
      </w:pPr>
      <w:r>
        <w:rPr>
          <w:rFonts w:cs="宋体" w:asciiTheme="minorEastAsia" w:hAnsiTheme="minorEastAsia" w:eastAsiaTheme="minorEastAsia"/>
          <w:color w:val="auto"/>
          <w:sz w:val="28"/>
          <w:szCs w:val="24"/>
        </w:rPr>
        <w:t>地下作业安全事项</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（1）防止高空坠落：同上</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（2）防止物体打击：同上</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（3）井下作业注意事项：</w:t>
      </w:r>
    </w:p>
    <w:p>
      <w:pPr>
        <w:numPr>
          <w:ilvl w:val="0"/>
          <w:numId w:val="32"/>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施工前应抽干井内积水，消除沉积垃圾。</w:t>
      </w:r>
    </w:p>
    <w:p>
      <w:pPr>
        <w:numPr>
          <w:ilvl w:val="0"/>
          <w:numId w:val="32"/>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应穿好套鞋和橡皮衣进行带水作业。禁止穿拖鞋下井作业。</w:t>
      </w:r>
    </w:p>
    <w:p>
      <w:pPr>
        <w:numPr>
          <w:ilvl w:val="0"/>
          <w:numId w:val="32"/>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应密切注意进水总管封堵头子内污水的渗漏和冒溢，必要时应及时撤离，防止中毒事故发生。</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（4）设备安装安全注意事项：</w:t>
      </w:r>
    </w:p>
    <w:p>
      <w:pPr>
        <w:numPr>
          <w:ilvl w:val="0"/>
          <w:numId w:val="32"/>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设备起吊前，应检查吊机是否正常，吊点是否合理，吊索是否符合要求</w:t>
      </w:r>
    </w:p>
    <w:p>
      <w:pPr>
        <w:numPr>
          <w:ilvl w:val="0"/>
          <w:numId w:val="32"/>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准备起吊要平稳，并有专人指挥。</w:t>
      </w:r>
    </w:p>
    <w:p>
      <w:pPr>
        <w:numPr>
          <w:ilvl w:val="0"/>
          <w:numId w:val="32"/>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晚间施工应设置足够的照明设备。</w:t>
      </w:r>
    </w:p>
    <w:p>
      <w:pPr>
        <w:numPr>
          <w:ilvl w:val="0"/>
          <w:numId w:val="32"/>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如空间狭小，设备吊装时应注意目标保护，防止事故发生。</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（5）安全用电注意事项</w:t>
      </w:r>
    </w:p>
    <w:p>
      <w:pPr>
        <w:numPr>
          <w:ilvl w:val="0"/>
          <w:numId w:val="32"/>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移动电具（如冲击钻，手提钻，潜水泵等）使用前应进行检查，并采取保护性接地或接零措施，并应装有漏电保护开关。</w:t>
      </w:r>
    </w:p>
    <w:p>
      <w:pPr>
        <w:numPr>
          <w:ilvl w:val="0"/>
          <w:numId w:val="32"/>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行灯使用时，电压不得超过36V。</w:t>
      </w:r>
    </w:p>
    <w:p>
      <w:pPr>
        <w:numPr>
          <w:ilvl w:val="0"/>
          <w:numId w:val="32"/>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移动电器用电应接有触电保护器，并按有关规定进行接线。</w:t>
      </w:r>
    </w:p>
    <w:p>
      <w:pPr>
        <w:numPr>
          <w:ilvl w:val="0"/>
          <w:numId w:val="32"/>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定期进行电气线路的检查和维修。</w:t>
      </w:r>
    </w:p>
    <w:p>
      <w:pPr>
        <w:numPr>
          <w:ilvl w:val="0"/>
          <w:numId w:val="32"/>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非专业人员不得擅自接线拉电。</w:t>
      </w:r>
    </w:p>
    <w:p>
      <w:pPr>
        <w:numPr>
          <w:ilvl w:val="0"/>
          <w:numId w:val="32"/>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大型</w:t>
      </w:r>
      <w:r>
        <w:rPr>
          <w:rFonts w:cs="宋体" w:asciiTheme="minorEastAsia" w:hAnsiTheme="minorEastAsia" w:eastAsiaTheme="minorEastAsia"/>
          <w:color w:val="auto"/>
          <w:sz w:val="28"/>
          <w:szCs w:val="21"/>
          <w:highlight w:val="none"/>
        </w:rPr>
        <w:t>电器设备</w:t>
      </w:r>
      <w:r>
        <w:rPr>
          <w:rFonts w:cs="宋体" w:asciiTheme="minorEastAsia" w:hAnsiTheme="minorEastAsia" w:eastAsiaTheme="minorEastAsia"/>
          <w:color w:val="auto"/>
          <w:sz w:val="28"/>
          <w:szCs w:val="21"/>
        </w:rPr>
        <w:t>安装就位时，应对临时吊装设施进行检查，确保设备安全就位。</w:t>
      </w:r>
    </w:p>
    <w:p>
      <w:pPr>
        <w:numPr>
          <w:ilvl w:val="0"/>
          <w:numId w:val="32"/>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设备安装完毕后，应检查熔断器、自动开关是否完好，设备外壳是否可靠接地。</w:t>
      </w:r>
    </w:p>
    <w:p>
      <w:pPr>
        <w:numPr>
          <w:ilvl w:val="0"/>
          <w:numId w:val="32"/>
        </w:numPr>
        <w:ind w:left="840" w:firstLineChars="0"/>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开关柜和变压器等应加设安全门和防护网及警告标志。</w:t>
      </w:r>
    </w:p>
    <w:p>
      <w:pPr>
        <w:pStyle w:val="37"/>
        <w:numPr>
          <w:ilvl w:val="3"/>
          <w:numId w:val="9"/>
        </w:numPr>
        <w:rPr>
          <w:rFonts w:cs="宋体" w:asciiTheme="minorEastAsia" w:hAnsiTheme="minorEastAsia" w:eastAsiaTheme="minorEastAsia"/>
          <w:color w:val="auto"/>
          <w:sz w:val="28"/>
          <w:szCs w:val="24"/>
        </w:rPr>
      </w:pPr>
      <w:r>
        <w:rPr>
          <w:rFonts w:cs="宋体" w:asciiTheme="minorEastAsia" w:hAnsiTheme="minorEastAsia" w:eastAsiaTheme="minorEastAsia"/>
          <w:color w:val="auto"/>
          <w:sz w:val="28"/>
          <w:szCs w:val="24"/>
        </w:rPr>
        <w:t>电焊工安全注意事项</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（1）电焊机必须一机一闸，</w:t>
      </w:r>
      <w:r>
        <w:rPr>
          <w:rFonts w:cs="宋体" w:asciiTheme="minorEastAsia" w:hAnsiTheme="minorEastAsia" w:eastAsiaTheme="minorEastAsia"/>
          <w:color w:val="auto"/>
          <w:sz w:val="28"/>
          <w:szCs w:val="21"/>
          <w:highlight w:val="none"/>
        </w:rPr>
        <w:t>宜使用</w:t>
      </w:r>
      <w:r>
        <w:rPr>
          <w:rFonts w:cs="宋体" w:asciiTheme="minorEastAsia" w:hAnsiTheme="minorEastAsia" w:eastAsiaTheme="minorEastAsia"/>
          <w:color w:val="auto"/>
          <w:sz w:val="28"/>
          <w:szCs w:val="21"/>
        </w:rPr>
        <w:t>随机开关。</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（2）一、二次电源接头处应有防护装置，二次线使用接线端子。</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（3）要做好电焊机的防雨、防潮工作。</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（4）乙炔瓶与氧气瓶应分开放置，并固定好，保持与明火的安全距离。</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（5）严格执行电焊工操作规程。</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（6）现场应配备消防器材，以防万一。</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（7）文明施工措施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（8）施工现场应做到挂牌施工。</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（9）车辆、人员进出现场应尽量避免对他人的影响。</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（10）在施工中要做好与建设单位、土建单位及设备供应单位的配合工作。</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（11）设置临时排水措施，在汛期及雨季，应增派人力，防止意外。</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（12）加强对施工场地平面的控制，做好材料、设备及工机具的管理工作。</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（13）根据现场情况设置临时食堂、浴室、厕所等设施。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（14）经常进行文明施工检查，发现问题及时整改。</w:t>
      </w:r>
    </w:p>
    <w:p>
      <w:pPr>
        <w:pStyle w:val="38"/>
        <w:numPr>
          <w:ilvl w:val="0"/>
          <w:numId w:val="9"/>
        </w:numPr>
        <w:rPr>
          <w:rFonts w:cs="宋体"/>
          <w:color w:val="auto"/>
          <w:sz w:val="32"/>
          <w:szCs w:val="40"/>
        </w:rPr>
      </w:pPr>
      <w:bookmarkStart w:id="163" w:name="_Toc21473"/>
      <w:r>
        <w:rPr>
          <w:rFonts w:hint="eastAsia" w:cs="宋体"/>
          <w:color w:val="auto"/>
          <w:sz w:val="32"/>
          <w:szCs w:val="40"/>
        </w:rPr>
        <w:t>消防设计</w:t>
      </w:r>
      <w:bookmarkEnd w:id="163"/>
    </w:p>
    <w:p>
      <w:pPr>
        <w:pStyle w:val="39"/>
        <w:numPr>
          <w:ilvl w:val="1"/>
          <w:numId w:val="9"/>
        </w:numPr>
        <w:rPr>
          <w:rFonts w:cs="宋体"/>
          <w:color w:val="auto"/>
          <w:sz w:val="28"/>
          <w:szCs w:val="28"/>
        </w:rPr>
      </w:pPr>
      <w:bookmarkStart w:id="164" w:name="_Toc7230"/>
      <w:r>
        <w:rPr>
          <w:rFonts w:hint="eastAsia" w:cs="宋体"/>
          <w:color w:val="auto"/>
          <w:sz w:val="28"/>
          <w:szCs w:val="28"/>
        </w:rPr>
        <w:t>编制依据</w:t>
      </w:r>
      <w:bookmarkEnd w:id="164"/>
    </w:p>
    <w:p>
      <w:pPr>
        <w:numPr>
          <w:ilvl w:val="0"/>
          <w:numId w:val="33"/>
        </w:numPr>
        <w:ind w:left="845" w:firstLineChars="0"/>
        <w:rPr>
          <w:rFonts w:cs="宋体"/>
          <w:color w:val="auto"/>
          <w:sz w:val="28"/>
          <w:szCs w:val="21"/>
        </w:rPr>
      </w:pPr>
      <w:r>
        <w:rPr>
          <w:rFonts w:hint="eastAsia" w:cs="宋体"/>
          <w:color w:val="auto"/>
          <w:sz w:val="28"/>
          <w:szCs w:val="21"/>
        </w:rPr>
        <w:t>《中华人民共和国消防条例》</w:t>
      </w:r>
    </w:p>
    <w:p>
      <w:pPr>
        <w:numPr>
          <w:ilvl w:val="0"/>
          <w:numId w:val="33"/>
        </w:numPr>
        <w:ind w:left="845" w:firstLineChars="0"/>
        <w:rPr>
          <w:rFonts w:cs="宋体"/>
          <w:color w:val="auto"/>
          <w:sz w:val="28"/>
          <w:szCs w:val="21"/>
        </w:rPr>
      </w:pPr>
      <w:r>
        <w:rPr>
          <w:rFonts w:hint="eastAsia" w:cs="宋体"/>
          <w:color w:val="auto"/>
          <w:sz w:val="28"/>
          <w:szCs w:val="21"/>
        </w:rPr>
        <w:t>《中华人民共和国消防条例实施细则》</w:t>
      </w:r>
    </w:p>
    <w:p>
      <w:pPr>
        <w:numPr>
          <w:ilvl w:val="0"/>
          <w:numId w:val="33"/>
        </w:numPr>
        <w:ind w:left="845" w:firstLineChars="0"/>
        <w:rPr>
          <w:rFonts w:cs="宋体"/>
          <w:color w:val="auto"/>
          <w:sz w:val="28"/>
          <w:szCs w:val="21"/>
        </w:rPr>
      </w:pPr>
      <w:r>
        <w:rPr>
          <w:rFonts w:hint="eastAsia" w:cs="宋体"/>
          <w:color w:val="auto"/>
          <w:sz w:val="28"/>
          <w:szCs w:val="21"/>
        </w:rPr>
        <w:t>《建筑设计防火规范》（GB50016-2014）</w:t>
      </w:r>
    </w:p>
    <w:p>
      <w:pPr>
        <w:numPr>
          <w:ilvl w:val="0"/>
          <w:numId w:val="33"/>
        </w:numPr>
        <w:ind w:left="845" w:firstLineChars="0"/>
        <w:rPr>
          <w:rFonts w:cs="宋体"/>
          <w:color w:val="auto"/>
          <w:sz w:val="28"/>
          <w:szCs w:val="21"/>
        </w:rPr>
      </w:pPr>
      <w:r>
        <w:rPr>
          <w:rFonts w:hint="eastAsia" w:cs="宋体"/>
          <w:color w:val="auto"/>
          <w:sz w:val="28"/>
          <w:szCs w:val="21"/>
        </w:rPr>
        <w:t>《爆炸和火灾危险环境电力装置设计规范》（GB50058-2014）</w:t>
      </w:r>
    </w:p>
    <w:p>
      <w:pPr>
        <w:numPr>
          <w:ilvl w:val="0"/>
          <w:numId w:val="33"/>
        </w:numPr>
        <w:ind w:left="845" w:firstLineChars="0"/>
        <w:rPr>
          <w:rFonts w:cs="宋体"/>
          <w:color w:val="auto"/>
          <w:sz w:val="28"/>
          <w:szCs w:val="21"/>
        </w:rPr>
      </w:pPr>
      <w:r>
        <w:rPr>
          <w:rFonts w:hint="eastAsia" w:cs="宋体"/>
          <w:color w:val="auto"/>
          <w:sz w:val="28"/>
          <w:szCs w:val="21"/>
        </w:rPr>
        <w:t>《建筑物防雷设计规范》（GB50057-2010）</w:t>
      </w:r>
    </w:p>
    <w:p>
      <w:pPr>
        <w:numPr>
          <w:ilvl w:val="0"/>
          <w:numId w:val="33"/>
        </w:numPr>
        <w:ind w:left="845" w:firstLineChars="0"/>
        <w:rPr>
          <w:rFonts w:cs="宋体"/>
          <w:color w:val="auto"/>
          <w:sz w:val="28"/>
          <w:szCs w:val="21"/>
        </w:rPr>
      </w:pPr>
      <w:r>
        <w:rPr>
          <w:rFonts w:hint="eastAsia" w:cs="宋体"/>
          <w:color w:val="auto"/>
          <w:sz w:val="28"/>
          <w:szCs w:val="21"/>
        </w:rPr>
        <w:t>《火灾自动报警系统设计规范》（GB50116-2013）</w:t>
      </w:r>
    </w:p>
    <w:p>
      <w:pPr>
        <w:numPr>
          <w:ilvl w:val="0"/>
          <w:numId w:val="33"/>
        </w:numPr>
        <w:ind w:left="845" w:firstLineChars="0"/>
        <w:rPr>
          <w:rFonts w:cs="宋体"/>
          <w:color w:val="auto"/>
          <w:sz w:val="28"/>
          <w:szCs w:val="21"/>
        </w:rPr>
      </w:pPr>
      <w:r>
        <w:rPr>
          <w:rFonts w:hint="eastAsia" w:cs="宋体"/>
          <w:color w:val="auto"/>
          <w:sz w:val="28"/>
          <w:szCs w:val="21"/>
        </w:rPr>
        <w:t>《建筑灭火器配置设计规范》（GB50140-2005）</w:t>
      </w:r>
    </w:p>
    <w:p>
      <w:pPr>
        <w:pStyle w:val="39"/>
        <w:numPr>
          <w:ilvl w:val="1"/>
          <w:numId w:val="9"/>
        </w:numPr>
        <w:rPr>
          <w:rFonts w:cs="宋体"/>
          <w:color w:val="auto"/>
          <w:sz w:val="28"/>
          <w:szCs w:val="28"/>
        </w:rPr>
      </w:pPr>
      <w:bookmarkStart w:id="165" w:name="_Toc9305"/>
      <w:r>
        <w:rPr>
          <w:rFonts w:hint="eastAsia" w:cs="宋体"/>
          <w:color w:val="auto"/>
          <w:sz w:val="28"/>
          <w:szCs w:val="28"/>
        </w:rPr>
        <w:t>防火等级</w:t>
      </w:r>
      <w:bookmarkEnd w:id="165"/>
    </w:p>
    <w:p>
      <w:pPr>
        <w:ind w:firstLine="565"/>
        <w:rPr>
          <w:rFonts w:cs="宋体"/>
          <w:color w:val="auto"/>
          <w:sz w:val="28"/>
          <w:szCs w:val="21"/>
        </w:rPr>
      </w:pPr>
      <w:r>
        <w:rPr>
          <w:rFonts w:hint="eastAsia" w:cs="宋体"/>
          <w:color w:val="auto"/>
          <w:sz w:val="28"/>
          <w:szCs w:val="21"/>
        </w:rPr>
        <w:t>按国家建筑防火规范确定。</w:t>
      </w:r>
    </w:p>
    <w:p>
      <w:pPr>
        <w:pStyle w:val="39"/>
        <w:numPr>
          <w:ilvl w:val="1"/>
          <w:numId w:val="9"/>
        </w:numPr>
        <w:rPr>
          <w:rFonts w:cs="宋体"/>
          <w:color w:val="auto"/>
          <w:sz w:val="28"/>
          <w:szCs w:val="28"/>
        </w:rPr>
      </w:pPr>
      <w:bookmarkStart w:id="166" w:name="_Toc3042"/>
      <w:r>
        <w:rPr>
          <w:rFonts w:hint="eastAsia" w:cs="宋体"/>
          <w:color w:val="auto"/>
          <w:sz w:val="28"/>
          <w:szCs w:val="28"/>
        </w:rPr>
        <w:t>火灾及消防措施</w:t>
      </w:r>
      <w:bookmarkEnd w:id="166"/>
    </w:p>
    <w:p>
      <w:pPr>
        <w:ind w:firstLine="565"/>
        <w:rPr>
          <w:rFonts w:cs="宋体"/>
          <w:color w:val="auto"/>
          <w:sz w:val="28"/>
          <w:szCs w:val="21"/>
        </w:rPr>
      </w:pPr>
      <w:r>
        <w:rPr>
          <w:rFonts w:hint="eastAsia" w:cs="宋体"/>
          <w:color w:val="auto"/>
          <w:sz w:val="28"/>
          <w:szCs w:val="21"/>
        </w:rPr>
        <w:t>本工程在正常生产情况下，一般不易发生火灾，只有在操作失误、违反规程、管理不当及其它非正常生产情况或意外事故状态下，才可能由各种因素导致火灾发生。因此为了防止火灾的发生，或减少火灾发生造成的损失，根据“预防为主，防消结合”的方针，本工程在设计上采取了相应的防范措施。</w:t>
      </w:r>
    </w:p>
    <w:p>
      <w:pPr>
        <w:pStyle w:val="38"/>
        <w:numPr>
          <w:ilvl w:val="0"/>
          <w:numId w:val="9"/>
        </w:numPr>
        <w:rPr>
          <w:rFonts w:cs="宋体"/>
          <w:color w:val="auto"/>
          <w:sz w:val="32"/>
          <w:szCs w:val="40"/>
        </w:rPr>
      </w:pPr>
      <w:bookmarkStart w:id="167" w:name="_Toc11114"/>
      <w:r>
        <w:rPr>
          <w:rFonts w:cs="宋体"/>
          <w:color w:val="auto"/>
          <w:sz w:val="32"/>
          <w:szCs w:val="40"/>
        </w:rPr>
        <w:t>节能</w:t>
      </w:r>
      <w:r>
        <w:rPr>
          <w:rFonts w:hint="eastAsia" w:cs="宋体"/>
          <w:color w:val="auto"/>
          <w:sz w:val="32"/>
          <w:szCs w:val="40"/>
          <w:lang w:eastAsia="zh-CN"/>
        </w:rPr>
        <w:t>及节水措施</w:t>
      </w:r>
      <w:bookmarkEnd w:id="167"/>
    </w:p>
    <w:p>
      <w:pPr>
        <w:pStyle w:val="39"/>
        <w:numPr>
          <w:ilvl w:val="1"/>
          <w:numId w:val="9"/>
        </w:numPr>
        <w:rPr>
          <w:rFonts w:cs="宋体" w:asciiTheme="minorEastAsia" w:hAnsiTheme="minorEastAsia" w:eastAsiaTheme="minorEastAsia"/>
          <w:color w:val="auto"/>
          <w:sz w:val="28"/>
          <w:szCs w:val="28"/>
        </w:rPr>
      </w:pPr>
      <w:bookmarkStart w:id="168" w:name="_Toc2392"/>
      <w:r>
        <w:rPr>
          <w:rFonts w:cs="宋体" w:asciiTheme="minorEastAsia" w:hAnsiTheme="minorEastAsia" w:eastAsiaTheme="minorEastAsia"/>
          <w:color w:val="auto"/>
          <w:sz w:val="28"/>
          <w:szCs w:val="28"/>
        </w:rPr>
        <w:t>节能规范</w:t>
      </w:r>
      <w:bookmarkEnd w:id="168"/>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（1）《中华人民共和国节约能源法》；</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（2）《国务院关于加强节能工作的决定》；</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（3）国家发展改委文件《关于加强固定资产投资项目节能评估和审查工作的通知》发改投资〔2006〕2787号；</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（4）《印发广东省固定资产投资项目节能评估和审查暂行办法的通知》广东省人民政府办公厅粤府办〔2008〕29号。</w:t>
      </w:r>
    </w:p>
    <w:p>
      <w:pPr>
        <w:pStyle w:val="39"/>
        <w:numPr>
          <w:ilvl w:val="1"/>
          <w:numId w:val="9"/>
        </w:numPr>
        <w:rPr>
          <w:rFonts w:cs="宋体" w:asciiTheme="minorEastAsia" w:hAnsiTheme="minorEastAsia" w:eastAsiaTheme="minorEastAsia"/>
          <w:color w:val="auto"/>
          <w:sz w:val="28"/>
          <w:szCs w:val="28"/>
        </w:rPr>
      </w:pPr>
      <w:bookmarkStart w:id="169" w:name="_Toc15658"/>
      <w:r>
        <w:rPr>
          <w:rFonts w:cs="宋体" w:asciiTheme="minorEastAsia" w:hAnsiTheme="minorEastAsia" w:eastAsiaTheme="minorEastAsia"/>
          <w:color w:val="auto"/>
          <w:sz w:val="28"/>
          <w:szCs w:val="28"/>
        </w:rPr>
        <w:t>项目能源消耗分析</w:t>
      </w:r>
      <w:bookmarkEnd w:id="169"/>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本项目属于市政公用工程，工程的建设将大大改善区域的环境质量，是造福人民的工程。在项目运行过程中，将主要消耗如下能源。</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1、电能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（1）在管道敷设过程中，管道施工机械用电消耗的电能。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2、燃煤</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所以本项目不需要设置锅炉房，没有燃煤的消耗。</w:t>
      </w:r>
    </w:p>
    <w:p>
      <w:pPr>
        <w:numPr>
          <w:ilvl w:val="0"/>
          <w:numId w:val="34"/>
        </w:numPr>
        <w:ind w:left="0" w:leftChars="0" w:firstLine="564" w:firstLineChars="200"/>
        <w:rPr>
          <w:rFonts w:hint="eastAsia"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用水</w:t>
      </w:r>
    </w:p>
    <w:p>
      <w:pPr>
        <w:numPr>
          <w:ilvl w:val="0"/>
          <w:numId w:val="0"/>
        </w:numPr>
        <w:ind w:leftChars="200"/>
        <w:rPr>
          <w:rFonts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val="en-US" w:eastAsia="zh-CN"/>
        </w:rPr>
        <w:t>水为洒水以防尘土飞扬。</w:t>
      </w:r>
    </w:p>
    <w:p>
      <w:pPr>
        <w:pStyle w:val="39"/>
        <w:numPr>
          <w:ilvl w:val="1"/>
          <w:numId w:val="9"/>
        </w:numPr>
        <w:rPr>
          <w:rFonts w:cs="宋体" w:asciiTheme="minorEastAsia" w:hAnsiTheme="minorEastAsia" w:eastAsiaTheme="minorEastAsia"/>
          <w:color w:val="auto"/>
          <w:sz w:val="28"/>
          <w:szCs w:val="28"/>
        </w:rPr>
      </w:pPr>
      <w:bookmarkStart w:id="170" w:name="_Toc28499"/>
      <w:r>
        <w:rPr>
          <w:rFonts w:cs="宋体" w:asciiTheme="minorEastAsia" w:hAnsiTheme="minorEastAsia" w:eastAsiaTheme="minorEastAsia"/>
          <w:color w:val="auto"/>
          <w:sz w:val="28"/>
          <w:szCs w:val="28"/>
        </w:rPr>
        <w:t>项目能源供应分析</w:t>
      </w:r>
      <w:bookmarkEnd w:id="170"/>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本项目所在地供电燃油供应情况良好，没有出现供电不足和燃油紧缺及供应不上的情况。所以能够保证能源的供应。</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项目施工用电由配电站电源送至施工现场配电箱，或者由移动发电机供电。施工生活用水采用市政水就近接驳，施工用水从旁边的河涌抽取以及市政自来水供水。</w:t>
      </w:r>
    </w:p>
    <w:p>
      <w:pPr>
        <w:pStyle w:val="39"/>
        <w:numPr>
          <w:ilvl w:val="1"/>
          <w:numId w:val="9"/>
        </w:numPr>
        <w:rPr>
          <w:rFonts w:cs="宋体" w:asciiTheme="minorEastAsia" w:hAnsiTheme="minorEastAsia" w:eastAsiaTheme="minorEastAsia"/>
          <w:color w:val="auto"/>
          <w:sz w:val="28"/>
          <w:szCs w:val="28"/>
        </w:rPr>
      </w:pPr>
      <w:bookmarkStart w:id="171" w:name="_Toc3242"/>
      <w:r>
        <w:rPr>
          <w:rFonts w:cs="宋体" w:asciiTheme="minorEastAsia" w:hAnsiTheme="minorEastAsia" w:eastAsiaTheme="minorEastAsia"/>
          <w:color w:val="auto"/>
          <w:sz w:val="28"/>
          <w:szCs w:val="28"/>
        </w:rPr>
        <w:t>能耗指标分析</w:t>
      </w:r>
      <w:bookmarkEnd w:id="171"/>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本项目运营过程中不用消耗电能。</w:t>
      </w:r>
    </w:p>
    <w:p>
      <w:pPr>
        <w:pStyle w:val="39"/>
        <w:numPr>
          <w:ilvl w:val="1"/>
          <w:numId w:val="9"/>
        </w:numPr>
        <w:rPr>
          <w:rFonts w:cs="宋体" w:asciiTheme="minorEastAsia" w:hAnsiTheme="minorEastAsia" w:eastAsiaTheme="minorEastAsia"/>
          <w:color w:val="auto"/>
          <w:sz w:val="28"/>
          <w:szCs w:val="28"/>
        </w:rPr>
      </w:pPr>
      <w:bookmarkStart w:id="172" w:name="_Toc800"/>
      <w:r>
        <w:rPr>
          <w:rFonts w:hint="eastAsia" w:cs="宋体" w:asciiTheme="minorEastAsia" w:hAnsiTheme="minorEastAsia" w:eastAsiaTheme="minorEastAsia"/>
          <w:color w:val="auto"/>
          <w:sz w:val="28"/>
          <w:szCs w:val="28"/>
          <w:lang w:eastAsia="zh-CN"/>
        </w:rPr>
        <w:t>节水</w:t>
      </w:r>
      <w:r>
        <w:rPr>
          <w:rFonts w:cs="宋体" w:asciiTheme="minorEastAsia" w:hAnsiTheme="minorEastAsia" w:eastAsiaTheme="minorEastAsia"/>
          <w:color w:val="auto"/>
          <w:sz w:val="28"/>
          <w:szCs w:val="28"/>
        </w:rPr>
        <w:t>节能措施及效果</w:t>
      </w:r>
      <w:bookmarkEnd w:id="172"/>
    </w:p>
    <w:p>
      <w:pPr>
        <w:pStyle w:val="40"/>
        <w:numPr>
          <w:ilvl w:val="2"/>
          <w:numId w:val="9"/>
        </w:numPr>
        <w:rPr>
          <w:rFonts w:cs="宋体" w:asciiTheme="minorEastAsia" w:hAnsiTheme="minorEastAsia" w:eastAsiaTheme="minorEastAsia"/>
          <w:color w:val="auto"/>
          <w:sz w:val="28"/>
          <w:szCs w:val="28"/>
        </w:rPr>
      </w:pPr>
      <w:r>
        <w:rPr>
          <w:rFonts w:cs="宋体" w:asciiTheme="minorEastAsia" w:hAnsiTheme="minorEastAsia" w:eastAsiaTheme="minorEastAsia"/>
          <w:color w:val="auto"/>
          <w:sz w:val="28"/>
          <w:szCs w:val="28"/>
        </w:rPr>
        <w:t>优化管道设计</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（1）本工程污水系统布局中，管网充分利用地形条件，完全采用重力流的输水方式，不存在提升泵站的耗能问题，故本工程是非常节能的。</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（2）加强排水管道内壁的光滑处理，采用新型管材，降低摩阻系数，减少水头损失。</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（3）在管道运营过程中，由于污水中杂质沉积在管道中，长时间运行后，会造成管道堵塞，过水能力下降，因此，要加强维护，周期性的对管道清淤，使管道有良好的水力条件。</w:t>
      </w:r>
    </w:p>
    <w:p>
      <w:pPr>
        <w:pStyle w:val="40"/>
        <w:numPr>
          <w:ilvl w:val="2"/>
          <w:numId w:val="9"/>
        </w:numPr>
        <w:rPr>
          <w:rFonts w:cs="宋体" w:asciiTheme="minorEastAsia" w:hAnsiTheme="minorEastAsia" w:eastAsiaTheme="minorEastAsia"/>
          <w:color w:val="auto"/>
          <w:sz w:val="28"/>
          <w:szCs w:val="28"/>
        </w:rPr>
      </w:pPr>
      <w:r>
        <w:rPr>
          <w:rFonts w:cs="宋体" w:asciiTheme="minorEastAsia" w:hAnsiTheme="minorEastAsia" w:eastAsiaTheme="minorEastAsia"/>
          <w:color w:val="auto"/>
          <w:sz w:val="28"/>
          <w:szCs w:val="28"/>
        </w:rPr>
        <w:t>施工节能</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在工程施工过程中，施工机械需要消耗的电能。施工单位应采用能耗低的机械；生活用电上也要注意节能。</w:t>
      </w:r>
    </w:p>
    <w:p>
      <w:pPr>
        <w:pStyle w:val="40"/>
        <w:numPr>
          <w:ilvl w:val="2"/>
          <w:numId w:val="9"/>
        </w:numPr>
        <w:rPr>
          <w:rFonts w:hint="eastAsia" w:cs="宋体" w:asciiTheme="minorEastAsia" w:hAnsiTheme="minorEastAsia" w:eastAsiaTheme="minorEastAsia"/>
          <w:color w:val="auto"/>
          <w:sz w:val="28"/>
          <w:szCs w:val="28"/>
          <w:lang w:eastAsia="zh-CN"/>
        </w:rPr>
      </w:pPr>
      <w:r>
        <w:rPr>
          <w:rFonts w:hint="eastAsia" w:cs="宋体" w:asciiTheme="minorEastAsia" w:hAnsiTheme="minorEastAsia" w:eastAsiaTheme="minorEastAsia"/>
          <w:color w:val="auto"/>
          <w:sz w:val="28"/>
          <w:szCs w:val="28"/>
          <w:lang w:eastAsia="zh-CN"/>
        </w:rPr>
        <w:t>施工节水</w:t>
      </w:r>
    </w:p>
    <w:p>
      <w:pPr>
        <w:rPr>
          <w:rFonts w:hint="eastAsia" w:cs="宋体"/>
          <w:color w:val="auto"/>
          <w:sz w:val="28"/>
          <w:szCs w:val="21"/>
          <w:lang w:eastAsia="zh-CN"/>
        </w:rPr>
      </w:pPr>
      <w:r>
        <w:rPr>
          <w:rFonts w:hint="eastAsia" w:cs="宋体"/>
          <w:color w:val="auto"/>
          <w:sz w:val="28"/>
          <w:szCs w:val="21"/>
          <w:lang w:eastAsia="zh-CN"/>
        </w:rPr>
        <w:t>节约用水应符合下列规定∶</w:t>
      </w:r>
    </w:p>
    <w:p>
      <w:pPr>
        <w:rPr>
          <w:rFonts w:hint="eastAsia" w:cs="宋体"/>
          <w:color w:val="auto"/>
          <w:sz w:val="28"/>
          <w:szCs w:val="21"/>
          <w:lang w:eastAsia="zh-CN"/>
        </w:rPr>
      </w:pPr>
      <w:r>
        <w:rPr>
          <w:rFonts w:hint="eastAsia" w:cs="宋体"/>
          <w:color w:val="auto"/>
          <w:sz w:val="28"/>
          <w:szCs w:val="21"/>
          <w:lang w:eastAsia="zh-CN"/>
        </w:rPr>
        <w:t>1 应根据工程特点，制定用水定额。</w:t>
      </w:r>
    </w:p>
    <w:p>
      <w:pPr>
        <w:rPr>
          <w:rFonts w:hint="eastAsia" w:cs="宋体"/>
          <w:color w:val="auto"/>
          <w:sz w:val="28"/>
          <w:szCs w:val="21"/>
          <w:lang w:eastAsia="zh-CN"/>
        </w:rPr>
      </w:pPr>
      <w:r>
        <w:rPr>
          <w:rFonts w:hint="eastAsia" w:cs="宋体"/>
          <w:color w:val="auto"/>
          <w:sz w:val="28"/>
          <w:szCs w:val="21"/>
          <w:lang w:eastAsia="zh-CN"/>
        </w:rPr>
        <w:t>2 施工现场供、排水系统应合理适用。</w:t>
      </w:r>
    </w:p>
    <w:p>
      <w:pPr>
        <w:rPr>
          <w:rFonts w:hint="eastAsia" w:cs="宋体"/>
          <w:color w:val="auto"/>
          <w:sz w:val="28"/>
          <w:szCs w:val="21"/>
          <w:lang w:eastAsia="zh-CN"/>
        </w:rPr>
      </w:pPr>
      <w:r>
        <w:rPr>
          <w:rFonts w:hint="eastAsia" w:cs="宋体"/>
          <w:color w:val="auto"/>
          <w:sz w:val="28"/>
          <w:szCs w:val="21"/>
          <w:lang w:eastAsia="zh-CN"/>
        </w:rPr>
        <w:t>3 施工现场办公区、生活区的生活用水应采用节水器具，节水器具配置率应达到100%。</w:t>
      </w:r>
    </w:p>
    <w:p>
      <w:pPr>
        <w:rPr>
          <w:rFonts w:hint="eastAsia" w:cs="宋体"/>
          <w:color w:val="auto"/>
          <w:sz w:val="28"/>
          <w:szCs w:val="21"/>
          <w:lang w:eastAsia="zh-CN"/>
        </w:rPr>
      </w:pPr>
      <w:r>
        <w:rPr>
          <w:rFonts w:hint="eastAsia" w:cs="宋体"/>
          <w:color w:val="auto"/>
          <w:sz w:val="28"/>
          <w:szCs w:val="21"/>
          <w:lang w:eastAsia="zh-CN"/>
        </w:rPr>
        <w:t>4 施工现场的生活用水与工程用水应分别计量。</w:t>
      </w:r>
    </w:p>
    <w:p>
      <w:pPr>
        <w:rPr>
          <w:rFonts w:hint="eastAsia" w:cs="宋体"/>
          <w:color w:val="auto"/>
          <w:sz w:val="28"/>
          <w:szCs w:val="21"/>
          <w:lang w:eastAsia="zh-CN"/>
        </w:rPr>
      </w:pPr>
      <w:r>
        <w:rPr>
          <w:rFonts w:hint="eastAsia" w:cs="宋体"/>
          <w:color w:val="auto"/>
          <w:sz w:val="28"/>
          <w:szCs w:val="21"/>
          <w:lang w:eastAsia="zh-CN"/>
        </w:rPr>
        <w:t>5 施工中应采用先进的节水施工工艺。</w:t>
      </w:r>
    </w:p>
    <w:p>
      <w:pPr>
        <w:rPr>
          <w:rFonts w:hint="eastAsia" w:cs="宋体"/>
          <w:color w:val="auto"/>
          <w:sz w:val="28"/>
          <w:szCs w:val="21"/>
          <w:lang w:eastAsia="zh-CN"/>
        </w:rPr>
      </w:pPr>
      <w:r>
        <w:rPr>
          <w:rFonts w:hint="eastAsia" w:cs="宋体"/>
          <w:color w:val="auto"/>
          <w:sz w:val="28"/>
          <w:szCs w:val="21"/>
          <w:lang w:eastAsia="zh-CN"/>
        </w:rPr>
        <w:t>6 混凝土养护和砂浆搅拌用水应合理，应有节水措施。</w:t>
      </w:r>
    </w:p>
    <w:p>
      <w:pPr>
        <w:rPr>
          <w:rFonts w:hint="eastAsia" w:cs="宋体"/>
          <w:color w:val="auto"/>
          <w:sz w:val="28"/>
          <w:szCs w:val="21"/>
          <w:lang w:eastAsia="zh-CN"/>
        </w:rPr>
      </w:pPr>
      <w:r>
        <w:rPr>
          <w:rFonts w:hint="eastAsia" w:cs="宋体"/>
          <w:color w:val="auto"/>
          <w:sz w:val="28"/>
          <w:szCs w:val="21"/>
          <w:lang w:eastAsia="zh-CN"/>
        </w:rPr>
        <w:t>7 管网和用水器具不应有渗漏。</w:t>
      </w:r>
    </w:p>
    <w:p>
      <w:pPr>
        <w:rPr>
          <w:rFonts w:hint="eastAsia" w:cs="宋体"/>
          <w:color w:val="auto"/>
          <w:sz w:val="28"/>
          <w:szCs w:val="21"/>
          <w:lang w:eastAsia="zh-CN"/>
        </w:rPr>
      </w:pPr>
      <w:r>
        <w:rPr>
          <w:rFonts w:hint="eastAsia" w:cs="宋体"/>
          <w:color w:val="auto"/>
          <w:sz w:val="28"/>
          <w:szCs w:val="21"/>
          <w:lang w:eastAsia="zh-CN"/>
        </w:rPr>
        <w:t>具体节水措施如下：</w:t>
      </w:r>
    </w:p>
    <w:p>
      <w:pPr>
        <w:rPr>
          <w:rFonts w:hint="eastAsia" w:cs="宋体"/>
          <w:color w:val="auto"/>
          <w:sz w:val="28"/>
          <w:szCs w:val="21"/>
          <w:lang w:eastAsia="zh-CN"/>
        </w:rPr>
      </w:pPr>
      <w:r>
        <w:rPr>
          <w:rFonts w:hint="eastAsia" w:cs="宋体"/>
          <w:color w:val="auto"/>
          <w:sz w:val="28"/>
          <w:szCs w:val="21"/>
          <w:lang w:eastAsia="zh-CN"/>
        </w:rPr>
        <w:t>1.生活区用水量以城市年鉴作为参考目标，施工生产区用水以施工预算用水量作为参考目标。</w:t>
      </w:r>
    </w:p>
    <w:p>
      <w:pPr>
        <w:rPr>
          <w:rFonts w:hint="eastAsia" w:cs="宋体"/>
          <w:color w:val="auto"/>
          <w:sz w:val="28"/>
          <w:szCs w:val="21"/>
          <w:lang w:eastAsia="zh-CN"/>
        </w:rPr>
      </w:pPr>
      <w:r>
        <w:rPr>
          <w:rFonts w:hint="eastAsia" w:cs="宋体"/>
          <w:color w:val="auto"/>
          <w:sz w:val="28"/>
          <w:szCs w:val="21"/>
          <w:lang w:eastAsia="zh-CN"/>
        </w:rPr>
        <w:t>2.施工现场的生活、生产用水分别单独挂表计量与汇总。办公生活区建议采用水龙头、花洒等节水器具。</w:t>
      </w:r>
    </w:p>
    <w:p>
      <w:pPr>
        <w:rPr>
          <w:rFonts w:hint="eastAsia" w:cs="宋体"/>
          <w:color w:val="auto"/>
          <w:sz w:val="28"/>
          <w:szCs w:val="21"/>
          <w:lang w:eastAsia="zh-CN"/>
        </w:rPr>
      </w:pPr>
      <w:r>
        <w:rPr>
          <w:rFonts w:hint="eastAsia" w:cs="宋体"/>
          <w:color w:val="auto"/>
          <w:sz w:val="28"/>
          <w:szCs w:val="21"/>
          <w:lang w:eastAsia="zh-CN"/>
        </w:rPr>
        <w:t>3.混凝土采用覆膜、刷养护液的方法进行养护。</w:t>
      </w:r>
    </w:p>
    <w:p>
      <w:pPr>
        <w:rPr>
          <w:rFonts w:hint="eastAsia" w:cs="宋体"/>
          <w:color w:val="auto"/>
          <w:sz w:val="28"/>
          <w:szCs w:val="21"/>
          <w:lang w:eastAsia="zh-CN"/>
        </w:rPr>
      </w:pPr>
      <w:r>
        <w:rPr>
          <w:rFonts w:hint="eastAsia" w:cs="宋体"/>
          <w:color w:val="auto"/>
          <w:sz w:val="28"/>
          <w:szCs w:val="21"/>
          <w:lang w:val="en-US" w:eastAsia="zh-CN"/>
        </w:rPr>
        <w:t>4</w:t>
      </w:r>
      <w:r>
        <w:rPr>
          <w:rFonts w:hint="eastAsia" w:cs="宋体"/>
          <w:color w:val="auto"/>
          <w:sz w:val="28"/>
          <w:szCs w:val="21"/>
          <w:lang w:eastAsia="zh-CN"/>
        </w:rPr>
        <w:t>.机电安装工程管道试压前，对管道系统的密封性进行检查，避免漏水，试压完成后对管道试压水进行回收利用。现场试水时，管道局部出现漏点，及时用水桶进行接漏。</w:t>
      </w:r>
    </w:p>
    <w:p>
      <w:pPr>
        <w:rPr>
          <w:rFonts w:cs="宋体" w:asciiTheme="minorEastAsia" w:hAnsiTheme="minorEastAsia" w:eastAsiaTheme="minorEastAsia"/>
          <w:color w:val="auto"/>
          <w:sz w:val="28"/>
          <w:szCs w:val="21"/>
        </w:rPr>
      </w:pPr>
      <w:r>
        <w:rPr>
          <w:rFonts w:hint="eastAsia" w:cs="宋体"/>
          <w:color w:val="auto"/>
          <w:sz w:val="28"/>
          <w:szCs w:val="21"/>
          <w:lang w:val="en-US" w:eastAsia="zh-CN"/>
        </w:rPr>
        <w:t>5</w:t>
      </w:r>
      <w:r>
        <w:rPr>
          <w:rFonts w:hint="eastAsia" w:cs="宋体"/>
          <w:color w:val="auto"/>
          <w:sz w:val="28"/>
          <w:szCs w:val="21"/>
          <w:lang w:eastAsia="zh-CN"/>
        </w:rPr>
        <w:t>.施工全部采用商品混凝土。</w:t>
      </w:r>
    </w:p>
    <w:p>
      <w:pPr>
        <w:pStyle w:val="40"/>
        <w:numPr>
          <w:ilvl w:val="2"/>
          <w:numId w:val="9"/>
        </w:numPr>
        <w:rPr>
          <w:rFonts w:cs="宋体" w:asciiTheme="minorEastAsia" w:hAnsiTheme="minorEastAsia" w:eastAsiaTheme="minorEastAsia"/>
          <w:color w:val="auto"/>
          <w:sz w:val="28"/>
          <w:szCs w:val="28"/>
        </w:rPr>
      </w:pPr>
      <w:r>
        <w:rPr>
          <w:rFonts w:cs="宋体" w:asciiTheme="minorEastAsia" w:hAnsiTheme="minorEastAsia" w:eastAsiaTheme="minorEastAsia"/>
          <w:color w:val="auto"/>
          <w:sz w:val="28"/>
          <w:szCs w:val="28"/>
        </w:rPr>
        <w:t>节能</w:t>
      </w:r>
      <w:r>
        <w:rPr>
          <w:rFonts w:hint="eastAsia" w:cs="宋体" w:asciiTheme="minorEastAsia" w:hAnsiTheme="minorEastAsia" w:eastAsiaTheme="minorEastAsia"/>
          <w:color w:val="auto"/>
          <w:sz w:val="28"/>
          <w:szCs w:val="28"/>
          <w:lang w:eastAsia="zh-CN"/>
        </w:rPr>
        <w:t>节水</w:t>
      </w:r>
      <w:r>
        <w:rPr>
          <w:rFonts w:cs="宋体" w:asciiTheme="minorEastAsia" w:hAnsiTheme="minorEastAsia" w:eastAsiaTheme="minorEastAsia"/>
          <w:color w:val="auto"/>
          <w:sz w:val="28"/>
          <w:szCs w:val="28"/>
        </w:rPr>
        <w:t>效果</w:t>
      </w:r>
    </w:p>
    <w:p>
      <w:pPr>
        <w:ind w:firstLine="565"/>
        <w:rPr>
          <w:rFonts w:cs="宋体" w:asciiTheme="minorEastAsia" w:hAnsiTheme="minorEastAsia" w:eastAsiaTheme="minorEastAsia"/>
          <w:color w:val="auto"/>
          <w:sz w:val="28"/>
          <w:szCs w:val="21"/>
        </w:rPr>
        <w:sectPr>
          <w:pgSz w:w="11906" w:h="16838"/>
          <w:pgMar w:top="1440" w:right="1080" w:bottom="1440" w:left="1080" w:header="851" w:footer="992" w:gutter="567"/>
          <w:pgBorders>
            <w:top w:val="none" w:sz="0" w:space="0"/>
            <w:left w:val="none" w:sz="0" w:space="0"/>
            <w:bottom w:val="none" w:sz="0" w:space="0"/>
            <w:right w:val="none" w:sz="0" w:space="0"/>
          </w:pgBorders>
          <w:pgNumType w:fmt="decimal"/>
          <w:cols w:space="425" w:num="1"/>
          <w:docGrid w:type="linesAndChars" w:linePitch="388" w:charSpace="526"/>
        </w:sectPr>
      </w:pPr>
      <w:r>
        <w:rPr>
          <w:rFonts w:cs="宋体" w:asciiTheme="minorEastAsia" w:hAnsiTheme="minorEastAsia" w:eastAsiaTheme="minorEastAsia"/>
          <w:color w:val="auto"/>
          <w:sz w:val="28"/>
          <w:szCs w:val="21"/>
        </w:rPr>
        <w:t>采用上述节能</w:t>
      </w:r>
      <w:r>
        <w:rPr>
          <w:rFonts w:hint="eastAsia" w:cs="宋体" w:asciiTheme="minorEastAsia" w:hAnsiTheme="minorEastAsia" w:eastAsiaTheme="minorEastAsia"/>
          <w:color w:val="auto"/>
          <w:sz w:val="28"/>
          <w:szCs w:val="21"/>
          <w:lang w:eastAsia="zh-CN"/>
        </w:rPr>
        <w:t>节水</w:t>
      </w:r>
      <w:r>
        <w:rPr>
          <w:rFonts w:cs="宋体" w:asciiTheme="minorEastAsia" w:hAnsiTheme="minorEastAsia" w:eastAsiaTheme="minorEastAsia"/>
          <w:color w:val="auto"/>
          <w:sz w:val="28"/>
          <w:szCs w:val="21"/>
        </w:rPr>
        <w:t>措施后，能有效降低本项目的能耗</w:t>
      </w:r>
      <w:r>
        <w:rPr>
          <w:rFonts w:hint="eastAsia" w:cs="宋体" w:asciiTheme="minorEastAsia" w:hAnsiTheme="minorEastAsia" w:eastAsiaTheme="minorEastAsia"/>
          <w:color w:val="auto"/>
          <w:sz w:val="28"/>
          <w:szCs w:val="21"/>
          <w:lang w:eastAsia="zh-CN"/>
        </w:rPr>
        <w:t>和用水</w:t>
      </w:r>
      <w:r>
        <w:rPr>
          <w:rFonts w:cs="宋体" w:asciiTheme="minorEastAsia" w:hAnsiTheme="minorEastAsia" w:eastAsiaTheme="minorEastAsia"/>
          <w:color w:val="auto"/>
          <w:sz w:val="28"/>
          <w:szCs w:val="21"/>
        </w:rPr>
        <w:t>，为国家节约宝贵的能源，本项目属于能效水平很好的项目。</w:t>
      </w:r>
    </w:p>
    <w:p>
      <w:pPr>
        <w:pStyle w:val="38"/>
        <w:numPr>
          <w:ilvl w:val="0"/>
          <w:numId w:val="9"/>
        </w:numPr>
        <w:rPr>
          <w:rFonts w:cs="宋体"/>
          <w:color w:val="auto"/>
          <w:sz w:val="32"/>
          <w:szCs w:val="40"/>
        </w:rPr>
      </w:pPr>
      <w:bookmarkStart w:id="173" w:name="_Toc13949"/>
      <w:r>
        <w:rPr>
          <w:rFonts w:hint="eastAsia" w:cs="宋体"/>
          <w:color w:val="auto"/>
          <w:sz w:val="32"/>
          <w:szCs w:val="40"/>
          <w:lang w:eastAsia="zh-CN"/>
        </w:rPr>
        <w:t>管理机构、人员编制及进度计划</w:t>
      </w:r>
      <w:bookmarkEnd w:id="173"/>
    </w:p>
    <w:p>
      <w:pPr>
        <w:pStyle w:val="39"/>
        <w:numPr>
          <w:ilvl w:val="1"/>
          <w:numId w:val="9"/>
        </w:numPr>
        <w:rPr>
          <w:rFonts w:cs="宋体" w:asciiTheme="minorEastAsia" w:hAnsiTheme="minorEastAsia" w:eastAsiaTheme="minorEastAsia"/>
          <w:color w:val="auto"/>
          <w:sz w:val="28"/>
          <w:szCs w:val="28"/>
        </w:rPr>
      </w:pPr>
      <w:bookmarkStart w:id="174" w:name="_Toc30574"/>
      <w:bookmarkStart w:id="175" w:name="_Toc18234"/>
      <w:bookmarkStart w:id="176" w:name="_Toc4502"/>
      <w:r>
        <w:rPr>
          <w:rFonts w:cs="宋体" w:asciiTheme="minorEastAsia" w:hAnsiTheme="minorEastAsia" w:eastAsiaTheme="minorEastAsia"/>
          <w:color w:val="auto"/>
          <w:sz w:val="28"/>
          <w:szCs w:val="28"/>
        </w:rPr>
        <w:t>管理机构</w:t>
      </w:r>
      <w:bookmarkEnd w:id="174"/>
      <w:bookmarkEnd w:id="175"/>
      <w:bookmarkEnd w:id="176"/>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为了减少管理成本提高工作效率，建议排水工程设置统一管理机构，由</w:t>
      </w:r>
      <w:r>
        <w:rPr>
          <w:rFonts w:hint="eastAsia" w:cs="宋体" w:asciiTheme="minorEastAsia" w:hAnsiTheme="minorEastAsia" w:eastAsiaTheme="minorEastAsia"/>
          <w:color w:val="auto"/>
          <w:sz w:val="28"/>
          <w:szCs w:val="21"/>
          <w:lang w:eastAsia="zh-CN"/>
        </w:rPr>
        <w:t>广州市从化区水务建设中心</w:t>
      </w:r>
      <w:r>
        <w:rPr>
          <w:rFonts w:cs="宋体" w:asciiTheme="minorEastAsia" w:hAnsiTheme="minorEastAsia" w:eastAsiaTheme="minorEastAsia"/>
          <w:color w:val="auto"/>
          <w:sz w:val="28"/>
          <w:szCs w:val="21"/>
        </w:rPr>
        <w:t>作为工程建设业主实施</w:t>
      </w:r>
      <w:r>
        <w:rPr>
          <w:rFonts w:hint="eastAsia" w:cs="宋体" w:asciiTheme="minorEastAsia" w:hAnsiTheme="minorEastAsia" w:eastAsiaTheme="minorEastAsia"/>
          <w:color w:val="auto"/>
          <w:sz w:val="28"/>
          <w:szCs w:val="21"/>
          <w:lang w:eastAsia="zh-CN"/>
        </w:rPr>
        <w:t>，项目建成并验收合格后将移交给广州市从化区城市排水有限公司进行维护和管养</w:t>
      </w:r>
      <w:r>
        <w:rPr>
          <w:rFonts w:cs="宋体" w:asciiTheme="minorEastAsia" w:hAnsiTheme="minorEastAsia" w:eastAsiaTheme="minorEastAsia"/>
          <w:color w:val="auto"/>
          <w:sz w:val="28"/>
          <w:szCs w:val="21"/>
        </w:rPr>
        <w:t>。</w:t>
      </w:r>
    </w:p>
    <w:p>
      <w:pPr>
        <w:pStyle w:val="39"/>
        <w:numPr>
          <w:ilvl w:val="1"/>
          <w:numId w:val="9"/>
        </w:numPr>
        <w:rPr>
          <w:rFonts w:cs="宋体" w:asciiTheme="minorEastAsia" w:hAnsiTheme="minorEastAsia" w:eastAsiaTheme="minorEastAsia"/>
          <w:color w:val="auto"/>
          <w:sz w:val="28"/>
          <w:szCs w:val="28"/>
        </w:rPr>
      </w:pPr>
      <w:bookmarkStart w:id="177" w:name="_Toc13416"/>
      <w:r>
        <w:rPr>
          <w:rFonts w:hint="eastAsia" w:cs="宋体"/>
          <w:color w:val="auto"/>
          <w:sz w:val="28"/>
          <w:szCs w:val="28"/>
          <w:lang w:eastAsia="zh-CN"/>
        </w:rPr>
        <w:t>人员编制</w:t>
      </w:r>
      <w:bookmarkEnd w:id="177"/>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根据建设部（85）城劳字第5号文《城市建设各行业编制定员试行标准》有关规定，下水道维护与片区排水管网统一由原管养单位维护，不需新增定员。</w:t>
      </w:r>
    </w:p>
    <w:p>
      <w:pPr>
        <w:pStyle w:val="39"/>
        <w:numPr>
          <w:ilvl w:val="1"/>
          <w:numId w:val="3"/>
        </w:numPr>
        <w:rPr>
          <w:rFonts w:hint="eastAsia" w:ascii="宋体" w:hAnsi="宋体" w:eastAsia="宋体" w:cs="宋体"/>
          <w:color w:val="auto"/>
          <w:highlight w:val="none"/>
          <w:lang w:val="en-US" w:eastAsia="zh-CN"/>
        </w:rPr>
      </w:pPr>
      <w:bookmarkStart w:id="178" w:name="_Toc31110"/>
      <w:bookmarkStart w:id="179" w:name="_Toc12397"/>
      <w:bookmarkStart w:id="180" w:name="_Toc671"/>
      <w:bookmarkStart w:id="181" w:name="_Toc11250"/>
      <w:bookmarkStart w:id="182" w:name="_Toc13454"/>
      <w:r>
        <w:rPr>
          <w:rFonts w:hint="eastAsia" w:ascii="宋体" w:hAnsi="宋体" w:eastAsia="宋体" w:cs="宋体"/>
          <w:color w:val="auto"/>
          <w:highlight w:val="none"/>
          <w:lang w:val="en-US" w:eastAsia="zh-CN"/>
        </w:rPr>
        <w:t>实施管理方案及工程验收标准</w:t>
      </w:r>
      <w:bookmarkEnd w:id="178"/>
      <w:bookmarkEnd w:id="179"/>
      <w:bookmarkEnd w:id="180"/>
      <w:bookmarkEnd w:id="181"/>
      <w:bookmarkEnd w:id="182"/>
    </w:p>
    <w:p>
      <w:pPr>
        <w:pStyle w:val="40"/>
        <w:numPr>
          <w:ilvl w:val="2"/>
          <w:numId w:val="3"/>
        </w:numPr>
        <w:rPr>
          <w:rFonts w:hint="eastAsia" w:ascii="宋体" w:hAnsi="宋体" w:eastAsia="宋体" w:cs="宋体"/>
          <w:color w:val="auto"/>
          <w:highlight w:val="none"/>
        </w:rPr>
      </w:pPr>
      <w:bookmarkStart w:id="183" w:name="_Toc10416"/>
      <w:r>
        <w:rPr>
          <w:rFonts w:hint="eastAsia" w:ascii="宋体" w:hAnsi="宋体" w:cs="宋体"/>
          <w:color w:val="auto"/>
          <w:highlight w:val="none"/>
          <w:lang w:eastAsia="zh-CN"/>
        </w:rPr>
        <w:t>实施管理方案</w:t>
      </w:r>
      <w:bookmarkEnd w:id="183"/>
    </w:p>
    <w:p>
      <w:pPr>
        <w:numPr>
          <w:ilvl w:val="0"/>
          <w:numId w:val="35"/>
        </w:numPr>
        <w:rPr>
          <w:rFonts w:hint="default" w:ascii="宋体" w:hAnsi="宋体" w:eastAsia="宋体" w:cs="宋体"/>
          <w:color w:val="auto"/>
          <w:highlight w:val="none"/>
          <w:lang w:val="en-US" w:eastAsia="zh-CN"/>
        </w:rPr>
      </w:pPr>
      <w:r>
        <w:rPr>
          <w:rFonts w:hint="eastAsia" w:ascii="宋体" w:hAnsi="宋体" w:cs="宋体"/>
          <w:color w:val="auto"/>
          <w:highlight w:val="none"/>
          <w:lang w:val="en-US" w:eastAsia="zh-CN"/>
        </w:rPr>
        <w:t>建设管理</w:t>
      </w:r>
    </w:p>
    <w:p>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严格落实“三个责任”：落实地方人民政府的主体责任、落实水务主管部门的行业监督责任、落实</w:t>
      </w:r>
      <w:r>
        <w:rPr>
          <w:rFonts w:hint="eastAsia" w:ascii="宋体" w:hAnsi="宋体" w:cs="宋体"/>
          <w:color w:val="auto"/>
          <w:highlight w:val="none"/>
          <w:lang w:val="en-US" w:eastAsia="zh-CN"/>
        </w:rPr>
        <w:t>排水</w:t>
      </w:r>
      <w:r>
        <w:rPr>
          <w:rFonts w:hint="eastAsia" w:ascii="宋体" w:hAnsi="宋体" w:eastAsia="宋体" w:cs="宋体"/>
          <w:color w:val="auto"/>
          <w:highlight w:val="none"/>
          <w:lang w:val="en-US" w:eastAsia="zh-CN"/>
        </w:rPr>
        <w:t>单位的运行管理责任。</w:t>
      </w:r>
    </w:p>
    <w:p>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建设实施阶段应充分发挥镇政府及村委会的协调能力，并要求其积极开展群众工作，主动协调村民，落实施工场地及条件，并向排水公司申请技术支持及项目全过程介入，提前实现建管交接机制。</w:t>
      </w:r>
    </w:p>
    <w:p>
      <w:pPr>
        <w:numPr>
          <w:ilvl w:val="0"/>
          <w:numId w:val="35"/>
        </w:numPr>
        <w:rPr>
          <w:rFonts w:hint="eastAsia" w:ascii="宋体" w:hAnsi="宋体" w:cs="宋体"/>
          <w:color w:val="auto"/>
          <w:highlight w:val="none"/>
          <w:lang w:val="en-US" w:eastAsia="zh-CN"/>
        </w:rPr>
      </w:pPr>
      <w:r>
        <w:rPr>
          <w:rFonts w:hint="eastAsia" w:ascii="宋体" w:hAnsi="宋体" w:cs="宋体"/>
          <w:color w:val="auto"/>
          <w:highlight w:val="none"/>
          <w:lang w:val="en-US" w:eastAsia="zh-CN"/>
        </w:rPr>
        <w:t>建设监管</w:t>
      </w:r>
    </w:p>
    <w:p>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由各区水务主管部门、工程建设主管部门、各相关村委会，成立工作小组，负责实施全过程的组织协调；建立专人联系制度，跟踪落实各项工作。</w:t>
      </w:r>
    </w:p>
    <w:p>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水务局需及时了解工作进展，协调相关部门解决工作存在的问题，统筹编排工作计划及时间节点，督促相关责任主体按时完成工作任务，对没有按时完成的相关责任单位进行通报。</w:t>
      </w:r>
    </w:p>
    <w:p>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工程前期阶段应由政府水务部门进行项目前期推进的监管，前期业主单位应积极定时向监管部门汇报工作进展；工程建设阶段，除基本的安监、质监等工程建设领域的监管外，还应受到市、区两级水务部门的监管，实现工程建设流程及工程技术质量的双监管模式；工程竣工验收阶段，应由前两阶段的监管部门进行工作核查，待项目移交运营管理单位实现正式运营后，继续对技术管理及运营维护工作实施监管。</w:t>
      </w:r>
    </w:p>
    <w:p>
      <w:pPr>
        <w:pStyle w:val="40"/>
        <w:numPr>
          <w:ilvl w:val="2"/>
          <w:numId w:val="3"/>
        </w:numPr>
        <w:rPr>
          <w:rFonts w:hint="eastAsia" w:ascii="宋体" w:hAnsi="宋体" w:eastAsia="宋体" w:cs="宋体"/>
          <w:color w:val="auto"/>
          <w:highlight w:val="none"/>
        </w:rPr>
      </w:pPr>
      <w:r>
        <w:rPr>
          <w:rFonts w:hint="eastAsia" w:ascii="宋体" w:hAnsi="宋体" w:cs="宋体"/>
          <w:color w:val="auto"/>
          <w:highlight w:val="none"/>
          <w:lang w:val="en-US" w:eastAsia="zh-CN"/>
        </w:rPr>
        <w:t xml:space="preserve"> </w:t>
      </w:r>
      <w:bookmarkStart w:id="184" w:name="_Toc4437"/>
      <w:r>
        <w:rPr>
          <w:rFonts w:hint="eastAsia" w:ascii="宋体" w:hAnsi="宋体" w:cs="宋体"/>
          <w:color w:val="auto"/>
          <w:highlight w:val="none"/>
          <w:lang w:eastAsia="zh-CN"/>
        </w:rPr>
        <w:t>工程验收</w:t>
      </w:r>
      <w:bookmarkEnd w:id="184"/>
    </w:p>
    <w:p>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工程验收按照广州市住房和城乡建设局印发的《广州市水务局关于印发广州市水务工程竣工联合验收工作方案（2023年版）的通知》执行。</w:t>
      </w:r>
    </w:p>
    <w:p>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工程施工过程中应及时做好资料归集和文件确认工作，做好材料、设备的质量验收，做好单项工程、隐蔽工程的质量验收，并做好相关记录，以便区水务主管部门查档，由区水务主管部门协调明确管理运营单位，将验收完整资料移交至正式接管的运营管理单位。</w:t>
      </w:r>
    </w:p>
    <w:p>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项目完工验收时应具备以下文件或资料：设计图纸及变更文件、招投标文件、主要设备及材料合格证明、中间验收资料、隐蔽工程验收资料、文明施工及安全检查记录文件、工程质量及安全事故记录、调试及试运行相关资料、竣工报告及竣工图。</w:t>
      </w:r>
    </w:p>
    <w:p>
      <w:pPr>
        <w:pStyle w:val="30"/>
      </w:pPr>
    </w:p>
    <w:p>
      <w:pPr>
        <w:pStyle w:val="39"/>
        <w:numPr>
          <w:ilvl w:val="1"/>
          <w:numId w:val="9"/>
        </w:numPr>
        <w:rPr>
          <w:rFonts w:cs="宋体" w:asciiTheme="minorEastAsia" w:hAnsiTheme="minorEastAsia" w:eastAsiaTheme="minorEastAsia"/>
          <w:color w:val="auto"/>
          <w:sz w:val="28"/>
          <w:szCs w:val="28"/>
        </w:rPr>
      </w:pPr>
      <w:bookmarkStart w:id="185" w:name="_Toc11132"/>
      <w:r>
        <w:rPr>
          <w:rFonts w:hint="eastAsia" w:cs="宋体" w:asciiTheme="minorEastAsia" w:hAnsiTheme="minorEastAsia" w:eastAsiaTheme="minorEastAsia"/>
          <w:color w:val="auto"/>
          <w:sz w:val="28"/>
          <w:szCs w:val="28"/>
          <w:lang w:eastAsia="zh-CN"/>
        </w:rPr>
        <w:t>项目实施计划</w:t>
      </w:r>
      <w:bookmarkEnd w:id="185"/>
    </w:p>
    <w:p>
      <w:pPr>
        <w:ind w:firstLine="565"/>
        <w:rPr>
          <w:rFonts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eastAsia="zh-CN"/>
        </w:rPr>
        <w:t>本项目预计于</w:t>
      </w:r>
      <w:r>
        <w:rPr>
          <w:rFonts w:hint="eastAsia" w:cs="宋体" w:asciiTheme="minorEastAsia" w:hAnsiTheme="minorEastAsia" w:eastAsiaTheme="minorEastAsia"/>
          <w:color w:val="auto"/>
          <w:sz w:val="28"/>
          <w:szCs w:val="21"/>
          <w:lang w:val="en-US" w:eastAsia="zh-CN"/>
        </w:rPr>
        <w:t>2023年6月开展项目建设方案审批程序，于2024年5月施工竣工验收，预计项目总工期为12个月。</w:t>
      </w:r>
    </w:p>
    <w:p>
      <w:pPr>
        <w:ind w:left="0" w:leftChars="0" w:firstLine="0" w:firstLineChars="0"/>
        <w:rPr>
          <w:color w:val="auto"/>
          <w:sz w:val="24"/>
          <w:szCs w:val="18"/>
          <w:highlight w:val="none"/>
        </w:rPr>
      </w:pPr>
      <w:r>
        <w:drawing>
          <wp:inline distT="0" distB="0" distL="114300" distR="114300">
            <wp:extent cx="6393180" cy="2163445"/>
            <wp:effectExtent l="0" t="0" r="7620" b="8255"/>
            <wp:docPr id="1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2"/>
                    <pic:cNvPicPr>
                      <a:picLocks noChangeAspect="1"/>
                    </pic:cNvPicPr>
                  </pic:nvPicPr>
                  <pic:blipFill>
                    <a:blip r:embed="rId93"/>
                    <a:stretch>
                      <a:fillRect/>
                    </a:stretch>
                  </pic:blipFill>
                  <pic:spPr>
                    <a:xfrm>
                      <a:off x="0" y="0"/>
                      <a:ext cx="6393180" cy="2163445"/>
                    </a:xfrm>
                    <a:prstGeom prst="rect">
                      <a:avLst/>
                    </a:prstGeom>
                    <a:noFill/>
                    <a:ln>
                      <a:noFill/>
                    </a:ln>
                  </pic:spPr>
                </pic:pic>
              </a:graphicData>
            </a:graphic>
          </wp:inline>
        </w:drawing>
      </w:r>
    </w:p>
    <w:p>
      <w:pPr>
        <w:pStyle w:val="44"/>
        <w:numPr>
          <w:ilvl w:val="8"/>
          <w:numId w:val="9"/>
        </w:numPr>
        <w:rPr>
          <w:rFonts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eastAsia="zh-CN"/>
        </w:rPr>
        <w:t>项目工期横道</w:t>
      </w:r>
      <w:r>
        <w:rPr>
          <w:rFonts w:cs="宋体" w:asciiTheme="minorEastAsia" w:hAnsiTheme="minorEastAsia" w:eastAsiaTheme="minorEastAsia"/>
          <w:color w:val="auto"/>
          <w:sz w:val="28"/>
          <w:szCs w:val="21"/>
        </w:rPr>
        <w:t>图</w:t>
      </w:r>
    </w:p>
    <w:p>
      <w:pPr>
        <w:pStyle w:val="36"/>
        <w:numPr>
          <w:ilvl w:val="0"/>
          <w:numId w:val="0"/>
        </w:numPr>
        <w:rPr>
          <w:rFonts w:hint="default" w:cs="宋体"/>
          <w:color w:val="auto"/>
          <w:sz w:val="28"/>
          <w:szCs w:val="18"/>
          <w:lang w:val="en-US" w:eastAsia="zh-CN"/>
        </w:rPr>
      </w:pPr>
    </w:p>
    <w:p>
      <w:pPr>
        <w:rPr>
          <w:rFonts w:cs="宋体"/>
          <w:color w:val="auto"/>
          <w:sz w:val="28"/>
          <w:szCs w:val="21"/>
        </w:rPr>
      </w:pPr>
      <w:r>
        <w:rPr>
          <w:rFonts w:cs="宋体"/>
          <w:color w:val="auto"/>
          <w:sz w:val="28"/>
          <w:szCs w:val="21"/>
        </w:rPr>
        <w:br w:type="page"/>
      </w:r>
    </w:p>
    <w:p>
      <w:pPr>
        <w:pStyle w:val="38"/>
        <w:numPr>
          <w:ilvl w:val="0"/>
          <w:numId w:val="9"/>
        </w:numPr>
        <w:rPr>
          <w:rFonts w:hint="eastAsia" w:cs="宋体"/>
          <w:color w:val="auto"/>
          <w:sz w:val="32"/>
          <w:szCs w:val="40"/>
        </w:rPr>
      </w:pPr>
      <w:bookmarkStart w:id="186" w:name="_Toc3330"/>
      <w:r>
        <w:rPr>
          <w:rFonts w:hint="eastAsia" w:cs="宋体"/>
          <w:color w:val="auto"/>
          <w:sz w:val="32"/>
          <w:szCs w:val="40"/>
          <w:lang w:eastAsia="zh-CN"/>
        </w:rPr>
        <w:t>水土保持</w:t>
      </w:r>
      <w:bookmarkEnd w:id="186"/>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本工程为市政管道工程，施工过程中防护效果的好坏，不仅影响施工进度、工程质量，也直接影响到周边水环境的水质，造成水质恶化、河道淤塞等严重后果，因此，水土流失防治工作的重要性不容忽视。为了明确施工单位在工程建设中承担的水土流失防治责任，划定本工程的水土流失防治责任范围，依据水土流失预测分区，根据不同施工区的特点结合当地土地利用规划及各施工区周边的环境进行针对性的防护。</w:t>
      </w:r>
    </w:p>
    <w:p>
      <w:pPr>
        <w:pStyle w:val="39"/>
        <w:numPr>
          <w:ilvl w:val="1"/>
          <w:numId w:val="9"/>
        </w:numPr>
        <w:rPr>
          <w:rFonts w:cs="宋体"/>
          <w:color w:val="auto"/>
          <w:sz w:val="28"/>
          <w:szCs w:val="28"/>
        </w:rPr>
      </w:pPr>
      <w:bookmarkStart w:id="187" w:name="_Toc20530"/>
      <w:r>
        <w:rPr>
          <w:rFonts w:cs="宋体"/>
          <w:color w:val="auto"/>
          <w:sz w:val="28"/>
          <w:szCs w:val="28"/>
        </w:rPr>
        <w:t>水土流失防治责任范围划分</w:t>
      </w:r>
      <w:bookmarkEnd w:id="187"/>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本工程位于平原地区。依据有关的设计资料及现场查勘，参照同类工程在相似地形条件下施工活动造成的水土流失影响划定本工程的防治责任范围。详见下表。</w:t>
      </w:r>
    </w:p>
    <w:p>
      <w:pPr>
        <w:pStyle w:val="41"/>
        <w:numPr>
          <w:ilvl w:val="7"/>
          <w:numId w:val="9"/>
        </w:numPr>
        <w:rPr>
          <w:rFonts w:cs="Times New Roman" w:asciiTheme="minorEastAsia" w:hAnsiTheme="minorEastAsia" w:eastAsiaTheme="minorEastAsia"/>
          <w:color w:val="auto"/>
          <w:sz w:val="24"/>
          <w:szCs w:val="21"/>
        </w:rPr>
      </w:pPr>
      <w:r>
        <w:rPr>
          <w:rFonts w:cs="宋体" w:asciiTheme="minorEastAsia" w:hAnsiTheme="minorEastAsia" w:eastAsiaTheme="minorEastAsia"/>
          <w:color w:val="auto"/>
          <w:sz w:val="28"/>
          <w:szCs w:val="21"/>
        </w:rPr>
        <w:t>水土流失防治责任范围统计表</w:t>
      </w:r>
    </w:p>
    <w:tbl>
      <w:tblPr>
        <w:tblStyle w:val="31"/>
        <w:tblW w:w="99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85" w:type="dxa"/>
          <w:left w:w="28" w:type="dxa"/>
          <w:bottom w:w="85" w:type="dxa"/>
          <w:right w:w="28" w:type="dxa"/>
        </w:tblCellMar>
      </w:tblPr>
      <w:tblGrid>
        <w:gridCol w:w="1155"/>
        <w:gridCol w:w="3713"/>
        <w:gridCol w:w="50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55" w:type="dxa"/>
            <w:vAlign w:val="center"/>
          </w:tcPr>
          <w:p>
            <w:pPr>
              <w:pStyle w:val="42"/>
              <w:rPr>
                <w:rFonts w:asciiTheme="minorEastAsia" w:hAnsiTheme="minorEastAsia" w:eastAsiaTheme="minorEastAsia"/>
                <w:color w:val="auto"/>
                <w:sz w:val="22"/>
                <w:szCs w:val="18"/>
              </w:rPr>
            </w:pPr>
            <w:r>
              <w:rPr>
                <w:rFonts w:cs="宋体" w:asciiTheme="minorEastAsia" w:hAnsiTheme="minorEastAsia" w:eastAsiaTheme="minorEastAsia"/>
                <w:color w:val="auto"/>
                <w:sz w:val="22"/>
                <w:szCs w:val="18"/>
              </w:rPr>
              <w:t>序号</w:t>
            </w:r>
          </w:p>
        </w:tc>
        <w:tc>
          <w:tcPr>
            <w:tcW w:w="3713" w:type="dxa"/>
            <w:vAlign w:val="center"/>
          </w:tcPr>
          <w:p>
            <w:pPr>
              <w:pStyle w:val="42"/>
              <w:rPr>
                <w:rFonts w:asciiTheme="minorEastAsia" w:hAnsiTheme="minorEastAsia" w:eastAsiaTheme="minorEastAsia"/>
                <w:color w:val="auto"/>
                <w:sz w:val="22"/>
                <w:szCs w:val="18"/>
              </w:rPr>
            </w:pPr>
            <w:r>
              <w:rPr>
                <w:rFonts w:cs="宋体" w:asciiTheme="minorEastAsia" w:hAnsiTheme="minorEastAsia" w:eastAsiaTheme="minorEastAsia"/>
                <w:color w:val="auto"/>
                <w:sz w:val="22"/>
                <w:szCs w:val="18"/>
              </w:rPr>
              <w:t>施工区</w:t>
            </w:r>
          </w:p>
        </w:tc>
        <w:tc>
          <w:tcPr>
            <w:tcW w:w="5087" w:type="dxa"/>
            <w:vAlign w:val="center"/>
          </w:tcPr>
          <w:p>
            <w:pPr>
              <w:pStyle w:val="42"/>
              <w:rPr>
                <w:rFonts w:asciiTheme="minorEastAsia" w:hAnsiTheme="minorEastAsia" w:eastAsiaTheme="minorEastAsia"/>
                <w:color w:val="auto"/>
                <w:sz w:val="22"/>
                <w:szCs w:val="18"/>
              </w:rPr>
            </w:pPr>
            <w:r>
              <w:rPr>
                <w:rFonts w:cs="宋体" w:asciiTheme="minorEastAsia" w:hAnsiTheme="minorEastAsia" w:eastAsiaTheme="minorEastAsia"/>
                <w:color w:val="auto"/>
                <w:sz w:val="22"/>
                <w:szCs w:val="18"/>
              </w:rPr>
              <w:t>界定依据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5" w:type="dxa"/>
            <w:left w:w="28" w:type="dxa"/>
            <w:bottom w:w="85" w:type="dxa"/>
            <w:right w:w="28" w:type="dxa"/>
          </w:tblCellMar>
        </w:tblPrEx>
        <w:trPr>
          <w:jc w:val="center"/>
        </w:trPr>
        <w:tc>
          <w:tcPr>
            <w:tcW w:w="1155" w:type="dxa"/>
            <w:vAlign w:val="center"/>
          </w:tcPr>
          <w:p>
            <w:pPr>
              <w:pStyle w:val="42"/>
              <w:rPr>
                <w:rFonts w:asciiTheme="minorEastAsia" w:hAnsiTheme="minorEastAsia" w:eastAsiaTheme="minorEastAsia"/>
                <w:color w:val="auto"/>
                <w:sz w:val="22"/>
                <w:szCs w:val="18"/>
              </w:rPr>
            </w:pPr>
            <w:r>
              <w:rPr>
                <w:rFonts w:cs="宋体" w:asciiTheme="minorEastAsia" w:hAnsiTheme="minorEastAsia" w:eastAsiaTheme="minorEastAsia"/>
                <w:color w:val="auto"/>
                <w:sz w:val="22"/>
                <w:szCs w:val="18"/>
              </w:rPr>
              <w:t>1</w:t>
            </w:r>
          </w:p>
        </w:tc>
        <w:tc>
          <w:tcPr>
            <w:tcW w:w="3713" w:type="dxa"/>
            <w:vAlign w:val="center"/>
          </w:tcPr>
          <w:p>
            <w:pPr>
              <w:pStyle w:val="42"/>
              <w:rPr>
                <w:rFonts w:asciiTheme="minorEastAsia" w:hAnsiTheme="minorEastAsia" w:eastAsiaTheme="minorEastAsia"/>
                <w:color w:val="auto"/>
                <w:sz w:val="22"/>
                <w:szCs w:val="18"/>
              </w:rPr>
            </w:pPr>
            <w:r>
              <w:rPr>
                <w:rFonts w:cs="宋体" w:asciiTheme="minorEastAsia" w:hAnsiTheme="minorEastAsia" w:eastAsiaTheme="minorEastAsia"/>
                <w:color w:val="auto"/>
                <w:sz w:val="22"/>
                <w:szCs w:val="18"/>
              </w:rPr>
              <w:t>主体工程施工区</w:t>
            </w:r>
          </w:p>
        </w:tc>
        <w:tc>
          <w:tcPr>
            <w:tcW w:w="5087" w:type="dxa"/>
            <w:vAlign w:val="center"/>
          </w:tcPr>
          <w:p>
            <w:pPr>
              <w:pStyle w:val="42"/>
              <w:rPr>
                <w:rFonts w:asciiTheme="minorEastAsia" w:hAnsiTheme="minorEastAsia" w:eastAsiaTheme="minorEastAsia"/>
                <w:color w:val="auto"/>
                <w:sz w:val="22"/>
                <w:szCs w:val="18"/>
              </w:rPr>
            </w:pPr>
            <w:r>
              <w:rPr>
                <w:rFonts w:cs="宋体" w:asciiTheme="minorEastAsia" w:hAnsiTheme="minorEastAsia" w:eastAsiaTheme="minorEastAsia"/>
                <w:color w:val="auto"/>
                <w:sz w:val="22"/>
                <w:szCs w:val="18"/>
              </w:rPr>
              <w:t>工程管理用地区外扩2m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5" w:type="dxa"/>
            <w:left w:w="28" w:type="dxa"/>
            <w:bottom w:w="85" w:type="dxa"/>
            <w:right w:w="28" w:type="dxa"/>
          </w:tblCellMar>
        </w:tblPrEx>
        <w:trPr>
          <w:jc w:val="center"/>
        </w:trPr>
        <w:tc>
          <w:tcPr>
            <w:tcW w:w="1155" w:type="dxa"/>
            <w:vAlign w:val="center"/>
          </w:tcPr>
          <w:p>
            <w:pPr>
              <w:pStyle w:val="42"/>
              <w:rPr>
                <w:rFonts w:asciiTheme="minorEastAsia" w:hAnsiTheme="minorEastAsia" w:eastAsiaTheme="minorEastAsia"/>
                <w:color w:val="auto"/>
                <w:sz w:val="22"/>
                <w:szCs w:val="18"/>
              </w:rPr>
            </w:pPr>
            <w:r>
              <w:rPr>
                <w:rFonts w:cs="宋体" w:asciiTheme="minorEastAsia" w:hAnsiTheme="minorEastAsia" w:eastAsiaTheme="minorEastAsia"/>
                <w:color w:val="auto"/>
                <w:sz w:val="22"/>
                <w:szCs w:val="18"/>
              </w:rPr>
              <w:t>2</w:t>
            </w:r>
          </w:p>
        </w:tc>
        <w:tc>
          <w:tcPr>
            <w:tcW w:w="3713" w:type="dxa"/>
            <w:vAlign w:val="center"/>
          </w:tcPr>
          <w:p>
            <w:pPr>
              <w:pStyle w:val="42"/>
              <w:rPr>
                <w:rFonts w:asciiTheme="minorEastAsia" w:hAnsiTheme="minorEastAsia" w:eastAsiaTheme="minorEastAsia"/>
                <w:color w:val="auto"/>
                <w:sz w:val="22"/>
                <w:szCs w:val="18"/>
              </w:rPr>
            </w:pPr>
            <w:r>
              <w:rPr>
                <w:rFonts w:cs="宋体" w:asciiTheme="minorEastAsia" w:hAnsiTheme="minorEastAsia" w:eastAsiaTheme="minorEastAsia"/>
                <w:color w:val="auto"/>
                <w:sz w:val="22"/>
                <w:szCs w:val="18"/>
              </w:rPr>
              <w:t>施工营造布置区</w:t>
            </w:r>
          </w:p>
        </w:tc>
        <w:tc>
          <w:tcPr>
            <w:tcW w:w="5087" w:type="dxa"/>
            <w:vAlign w:val="center"/>
          </w:tcPr>
          <w:p>
            <w:pPr>
              <w:pStyle w:val="42"/>
              <w:rPr>
                <w:rFonts w:asciiTheme="minorEastAsia" w:hAnsiTheme="minorEastAsia" w:eastAsiaTheme="minorEastAsia"/>
                <w:color w:val="auto"/>
                <w:sz w:val="22"/>
                <w:szCs w:val="18"/>
              </w:rPr>
            </w:pPr>
            <w:r>
              <w:rPr>
                <w:rFonts w:cs="宋体" w:asciiTheme="minorEastAsia" w:hAnsiTheme="minorEastAsia" w:eastAsiaTheme="minorEastAsia"/>
                <w:color w:val="auto"/>
                <w:sz w:val="22"/>
                <w:szCs w:val="18"/>
              </w:rPr>
              <w:t>周边5m范围内</w:t>
            </w:r>
          </w:p>
        </w:tc>
      </w:tr>
    </w:tbl>
    <w:p>
      <w:pPr>
        <w:pStyle w:val="39"/>
        <w:numPr>
          <w:ilvl w:val="1"/>
          <w:numId w:val="9"/>
        </w:numPr>
        <w:rPr>
          <w:rFonts w:cs="宋体" w:asciiTheme="minorEastAsia" w:hAnsiTheme="minorEastAsia" w:eastAsiaTheme="minorEastAsia"/>
          <w:color w:val="auto"/>
          <w:sz w:val="28"/>
          <w:szCs w:val="28"/>
        </w:rPr>
      </w:pPr>
      <w:bookmarkStart w:id="188" w:name="_Toc24391"/>
      <w:r>
        <w:rPr>
          <w:rFonts w:cs="宋体" w:asciiTheme="minorEastAsia" w:hAnsiTheme="minorEastAsia" w:eastAsiaTheme="minorEastAsia"/>
          <w:color w:val="auto"/>
          <w:sz w:val="28"/>
          <w:szCs w:val="28"/>
        </w:rPr>
        <w:t>水土流失防治目标</w:t>
      </w:r>
      <w:bookmarkEnd w:id="188"/>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本工程属于建设类项目，位于广州市，本方案防治目标按项目所处水土流失防治区，同时考虑项目所处地理位置、水系、水资源、水功能、防洪功能等，结合本工程区地形条件、当地的生态保护规划及施工特点，确定执行《</w:t>
      </w:r>
      <w:r>
        <w:rPr>
          <w:rFonts w:hint="eastAsia" w:cs="宋体" w:asciiTheme="minorEastAsia" w:hAnsiTheme="minorEastAsia" w:eastAsiaTheme="minorEastAsia"/>
          <w:color w:val="auto"/>
          <w:sz w:val="28"/>
          <w:szCs w:val="21"/>
          <w:lang w:eastAsia="zh-CN"/>
        </w:rPr>
        <w:t>生产</w:t>
      </w:r>
      <w:r>
        <w:rPr>
          <w:rFonts w:cs="宋体" w:asciiTheme="minorEastAsia" w:hAnsiTheme="minorEastAsia" w:eastAsiaTheme="minorEastAsia"/>
          <w:color w:val="auto"/>
          <w:sz w:val="28"/>
          <w:szCs w:val="21"/>
        </w:rPr>
        <w:t>建设项目水土流失防治标准》（GB</w:t>
      </w:r>
      <w:r>
        <w:rPr>
          <w:rFonts w:hint="eastAsia" w:cs="宋体" w:asciiTheme="minorEastAsia" w:hAnsiTheme="minorEastAsia" w:eastAsiaTheme="minorEastAsia"/>
          <w:color w:val="auto"/>
          <w:sz w:val="28"/>
          <w:szCs w:val="21"/>
          <w:lang w:val="en-US" w:eastAsia="zh-CN"/>
        </w:rPr>
        <w:t>/T</w:t>
      </w:r>
      <w:r>
        <w:rPr>
          <w:rFonts w:cs="宋体" w:asciiTheme="minorEastAsia" w:hAnsiTheme="minorEastAsia" w:eastAsiaTheme="minorEastAsia"/>
          <w:color w:val="auto"/>
          <w:sz w:val="28"/>
          <w:szCs w:val="21"/>
        </w:rPr>
        <w:t>50434-20</w:t>
      </w:r>
      <w:r>
        <w:rPr>
          <w:rFonts w:hint="eastAsia" w:cs="宋体" w:asciiTheme="minorEastAsia" w:hAnsiTheme="minorEastAsia" w:eastAsiaTheme="minorEastAsia"/>
          <w:color w:val="auto"/>
          <w:sz w:val="28"/>
          <w:szCs w:val="21"/>
          <w:lang w:val="en-US" w:eastAsia="zh-CN"/>
        </w:rPr>
        <w:t>1</w:t>
      </w:r>
      <w:r>
        <w:rPr>
          <w:rFonts w:cs="宋体" w:asciiTheme="minorEastAsia" w:hAnsiTheme="minorEastAsia" w:eastAsiaTheme="minorEastAsia"/>
          <w:color w:val="auto"/>
          <w:sz w:val="28"/>
          <w:szCs w:val="21"/>
        </w:rPr>
        <w:t>8）建设类项目二级标准，同时根据项目区属多年平均降水量800mm以上地区，对拟执行的二级标准相关指标调整提高。详见下表。</w:t>
      </w:r>
    </w:p>
    <w:p>
      <w:pPr>
        <w:pStyle w:val="41"/>
        <w:numPr>
          <w:ilvl w:val="7"/>
          <w:numId w:val="9"/>
        </w:numPr>
        <w:rPr>
          <w:rFonts w:cs="Times New Roman" w:asciiTheme="minorEastAsia" w:hAnsiTheme="minorEastAsia" w:eastAsiaTheme="minorEastAsia"/>
          <w:color w:val="auto"/>
          <w:sz w:val="24"/>
          <w:szCs w:val="21"/>
        </w:rPr>
      </w:pPr>
      <w:r>
        <w:rPr>
          <w:rFonts w:cs="宋体" w:asciiTheme="minorEastAsia" w:hAnsiTheme="minorEastAsia" w:eastAsiaTheme="minorEastAsia"/>
          <w:color w:val="auto"/>
          <w:sz w:val="28"/>
          <w:szCs w:val="21"/>
        </w:rPr>
        <w:t>水土流失防治目标值表</w:t>
      </w:r>
    </w:p>
    <w:tbl>
      <w:tblPr>
        <w:tblStyle w:val="31"/>
        <w:tblW w:w="101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85" w:type="dxa"/>
          <w:left w:w="108" w:type="dxa"/>
          <w:bottom w:w="85" w:type="dxa"/>
          <w:right w:w="108" w:type="dxa"/>
        </w:tblCellMar>
      </w:tblPr>
      <w:tblGrid>
        <w:gridCol w:w="3226"/>
        <w:gridCol w:w="1560"/>
        <w:gridCol w:w="1418"/>
        <w:gridCol w:w="2084"/>
        <w:gridCol w:w="1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5" w:type="dxa"/>
            <w:left w:w="108" w:type="dxa"/>
            <w:bottom w:w="85" w:type="dxa"/>
            <w:right w:w="108" w:type="dxa"/>
          </w:tblCellMar>
        </w:tblPrEx>
        <w:trPr>
          <w:trHeight w:val="340" w:hRule="atLeast"/>
          <w:tblHeader/>
          <w:jc w:val="center"/>
        </w:trPr>
        <w:tc>
          <w:tcPr>
            <w:tcW w:w="3226" w:type="dxa"/>
            <w:vMerge w:val="restart"/>
            <w:vAlign w:val="center"/>
          </w:tcPr>
          <w:p>
            <w:pPr>
              <w:pStyle w:val="42"/>
              <w:ind w:firstLine="0" w:firstLineChars="0"/>
              <w:rPr>
                <w:rFonts w:asciiTheme="minorEastAsia" w:hAnsiTheme="minorEastAsia" w:eastAsiaTheme="minorEastAsia"/>
                <w:color w:val="auto"/>
                <w:sz w:val="22"/>
                <w:szCs w:val="18"/>
              </w:rPr>
            </w:pPr>
            <w:r>
              <w:rPr>
                <w:rFonts w:asciiTheme="minorEastAsia" w:hAnsiTheme="minorEastAsia" w:eastAsiaTheme="minorEastAsia"/>
                <w:color w:val="auto"/>
                <w:sz w:val="22"/>
                <w:szCs w:val="18"/>
                <w:highlight w:val="none"/>
              </w:rPr>
              <w:t>分类</w:t>
            </w:r>
          </w:p>
        </w:tc>
        <w:tc>
          <w:tcPr>
            <w:tcW w:w="2978" w:type="dxa"/>
            <w:gridSpan w:val="2"/>
            <w:vAlign w:val="center"/>
          </w:tcPr>
          <w:p>
            <w:pPr>
              <w:pStyle w:val="42"/>
              <w:ind w:firstLine="0" w:firstLineChars="0"/>
              <w:rPr>
                <w:rFonts w:asciiTheme="minorEastAsia" w:hAnsiTheme="minorEastAsia" w:eastAsiaTheme="minorEastAsia"/>
                <w:color w:val="auto"/>
                <w:sz w:val="22"/>
                <w:szCs w:val="18"/>
              </w:rPr>
            </w:pPr>
            <w:r>
              <w:rPr>
                <w:rFonts w:hint="eastAsia" w:asciiTheme="minorEastAsia" w:hAnsiTheme="minorEastAsia" w:eastAsiaTheme="minorEastAsia"/>
                <w:color w:val="auto"/>
                <w:sz w:val="22"/>
                <w:szCs w:val="18"/>
                <w:highlight w:val="none"/>
                <w:lang w:eastAsia="zh-CN"/>
              </w:rPr>
              <w:t>一</w:t>
            </w:r>
            <w:r>
              <w:rPr>
                <w:rFonts w:asciiTheme="minorEastAsia" w:hAnsiTheme="minorEastAsia" w:eastAsiaTheme="minorEastAsia"/>
                <w:color w:val="auto"/>
                <w:sz w:val="22"/>
                <w:szCs w:val="18"/>
                <w:highlight w:val="none"/>
              </w:rPr>
              <w:t>级标准</w:t>
            </w:r>
          </w:p>
        </w:tc>
        <w:tc>
          <w:tcPr>
            <w:tcW w:w="3911" w:type="dxa"/>
            <w:gridSpan w:val="2"/>
            <w:vAlign w:val="center"/>
          </w:tcPr>
          <w:p>
            <w:pPr>
              <w:pStyle w:val="42"/>
              <w:ind w:firstLine="0" w:firstLineChars="0"/>
              <w:rPr>
                <w:rFonts w:asciiTheme="minorEastAsia" w:hAnsiTheme="minorEastAsia" w:eastAsiaTheme="minorEastAsia"/>
                <w:color w:val="auto"/>
                <w:sz w:val="22"/>
                <w:szCs w:val="18"/>
              </w:rPr>
            </w:pPr>
            <w:r>
              <w:rPr>
                <w:rFonts w:asciiTheme="minorEastAsia" w:hAnsiTheme="minorEastAsia" w:eastAsiaTheme="minorEastAsia"/>
                <w:color w:val="auto"/>
                <w:sz w:val="22"/>
                <w:szCs w:val="18"/>
                <w:highlight w:val="none"/>
              </w:rPr>
              <w:t>采用标准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5" w:type="dxa"/>
            <w:left w:w="108" w:type="dxa"/>
            <w:bottom w:w="85" w:type="dxa"/>
            <w:right w:w="108" w:type="dxa"/>
          </w:tblCellMar>
        </w:tblPrEx>
        <w:trPr>
          <w:trHeight w:val="340" w:hRule="atLeast"/>
          <w:tblHeader/>
          <w:jc w:val="center"/>
        </w:trPr>
        <w:tc>
          <w:tcPr>
            <w:tcW w:w="3226" w:type="dxa"/>
            <w:vMerge w:val="continue"/>
            <w:vAlign w:val="center"/>
          </w:tcPr>
          <w:p>
            <w:pPr>
              <w:pStyle w:val="42"/>
              <w:ind w:firstLine="0" w:firstLineChars="0"/>
              <w:rPr>
                <w:rFonts w:asciiTheme="minorEastAsia" w:hAnsiTheme="minorEastAsia" w:eastAsiaTheme="minorEastAsia"/>
                <w:color w:val="auto"/>
                <w:sz w:val="22"/>
                <w:szCs w:val="18"/>
              </w:rPr>
            </w:pPr>
          </w:p>
        </w:tc>
        <w:tc>
          <w:tcPr>
            <w:tcW w:w="1560" w:type="dxa"/>
            <w:vAlign w:val="center"/>
          </w:tcPr>
          <w:p>
            <w:pPr>
              <w:pStyle w:val="42"/>
              <w:ind w:firstLine="0" w:firstLineChars="0"/>
              <w:rPr>
                <w:rFonts w:asciiTheme="minorEastAsia" w:hAnsiTheme="minorEastAsia" w:eastAsiaTheme="minorEastAsia"/>
                <w:color w:val="auto"/>
                <w:sz w:val="22"/>
                <w:szCs w:val="18"/>
              </w:rPr>
            </w:pPr>
            <w:r>
              <w:rPr>
                <w:rFonts w:asciiTheme="minorEastAsia" w:hAnsiTheme="minorEastAsia" w:eastAsiaTheme="minorEastAsia"/>
                <w:color w:val="auto"/>
                <w:sz w:val="22"/>
                <w:szCs w:val="18"/>
                <w:highlight w:val="none"/>
              </w:rPr>
              <w:t>施工期</w:t>
            </w:r>
          </w:p>
        </w:tc>
        <w:tc>
          <w:tcPr>
            <w:tcW w:w="1418" w:type="dxa"/>
            <w:vAlign w:val="center"/>
          </w:tcPr>
          <w:p>
            <w:pPr>
              <w:pStyle w:val="42"/>
              <w:ind w:firstLine="0" w:firstLineChars="0"/>
              <w:rPr>
                <w:rFonts w:asciiTheme="minorEastAsia" w:hAnsiTheme="minorEastAsia" w:eastAsiaTheme="minorEastAsia"/>
                <w:color w:val="auto"/>
                <w:sz w:val="22"/>
                <w:szCs w:val="18"/>
              </w:rPr>
            </w:pPr>
            <w:r>
              <w:rPr>
                <w:rFonts w:asciiTheme="minorEastAsia" w:hAnsiTheme="minorEastAsia" w:eastAsiaTheme="minorEastAsia"/>
                <w:color w:val="auto"/>
                <w:sz w:val="22"/>
                <w:szCs w:val="18"/>
                <w:highlight w:val="none"/>
              </w:rPr>
              <w:t>试运行期</w:t>
            </w:r>
          </w:p>
        </w:tc>
        <w:tc>
          <w:tcPr>
            <w:tcW w:w="2084" w:type="dxa"/>
            <w:vAlign w:val="center"/>
          </w:tcPr>
          <w:p>
            <w:pPr>
              <w:pStyle w:val="42"/>
              <w:ind w:firstLine="0" w:firstLineChars="0"/>
              <w:rPr>
                <w:rFonts w:asciiTheme="minorEastAsia" w:hAnsiTheme="minorEastAsia" w:eastAsiaTheme="minorEastAsia"/>
                <w:color w:val="auto"/>
                <w:sz w:val="22"/>
                <w:szCs w:val="18"/>
              </w:rPr>
            </w:pPr>
            <w:r>
              <w:rPr>
                <w:rFonts w:asciiTheme="minorEastAsia" w:hAnsiTheme="minorEastAsia" w:eastAsiaTheme="minorEastAsia"/>
                <w:color w:val="auto"/>
                <w:sz w:val="22"/>
                <w:szCs w:val="18"/>
                <w:highlight w:val="none"/>
              </w:rPr>
              <w:t>施工期</w:t>
            </w:r>
          </w:p>
        </w:tc>
        <w:tc>
          <w:tcPr>
            <w:tcW w:w="1827" w:type="dxa"/>
            <w:vAlign w:val="center"/>
          </w:tcPr>
          <w:p>
            <w:pPr>
              <w:pStyle w:val="42"/>
              <w:ind w:firstLine="0" w:firstLineChars="0"/>
              <w:rPr>
                <w:rFonts w:asciiTheme="minorEastAsia" w:hAnsiTheme="minorEastAsia" w:eastAsiaTheme="minorEastAsia"/>
                <w:color w:val="auto"/>
                <w:sz w:val="22"/>
                <w:szCs w:val="18"/>
              </w:rPr>
            </w:pPr>
            <w:r>
              <w:rPr>
                <w:rFonts w:asciiTheme="minorEastAsia" w:hAnsiTheme="minorEastAsia" w:eastAsiaTheme="minorEastAsia"/>
                <w:color w:val="auto"/>
                <w:sz w:val="22"/>
                <w:szCs w:val="18"/>
                <w:highlight w:val="none"/>
              </w:rPr>
              <w:t>试运行期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5" w:type="dxa"/>
            <w:left w:w="108" w:type="dxa"/>
            <w:bottom w:w="85" w:type="dxa"/>
            <w:right w:w="108" w:type="dxa"/>
          </w:tblCellMar>
        </w:tblPrEx>
        <w:trPr>
          <w:trHeight w:val="340" w:hRule="atLeast"/>
          <w:jc w:val="center"/>
        </w:trPr>
        <w:tc>
          <w:tcPr>
            <w:tcW w:w="3226" w:type="dxa"/>
            <w:vAlign w:val="center"/>
          </w:tcPr>
          <w:p>
            <w:pPr>
              <w:pStyle w:val="42"/>
              <w:ind w:firstLine="0" w:firstLineChars="0"/>
              <w:rPr>
                <w:rFonts w:asciiTheme="minorEastAsia" w:hAnsiTheme="minorEastAsia" w:eastAsiaTheme="minorEastAsia"/>
                <w:color w:val="auto"/>
                <w:sz w:val="22"/>
                <w:szCs w:val="18"/>
              </w:rPr>
            </w:pPr>
            <w:r>
              <w:rPr>
                <w:rFonts w:asciiTheme="minorEastAsia" w:hAnsiTheme="minorEastAsia" w:eastAsiaTheme="minorEastAsia"/>
                <w:color w:val="auto"/>
                <w:sz w:val="22"/>
                <w:szCs w:val="18"/>
                <w:highlight w:val="none"/>
              </w:rPr>
              <w:t>水土流失治理度（%）</w:t>
            </w:r>
          </w:p>
        </w:tc>
        <w:tc>
          <w:tcPr>
            <w:tcW w:w="1560" w:type="dxa"/>
            <w:vAlign w:val="center"/>
          </w:tcPr>
          <w:p>
            <w:pPr>
              <w:pStyle w:val="42"/>
              <w:ind w:firstLine="0" w:firstLineChars="0"/>
              <w:rPr>
                <w:rFonts w:asciiTheme="minorEastAsia" w:hAnsiTheme="minorEastAsia" w:eastAsiaTheme="minorEastAsia"/>
                <w:color w:val="auto"/>
                <w:sz w:val="22"/>
                <w:szCs w:val="18"/>
              </w:rPr>
            </w:pPr>
            <w:r>
              <w:rPr>
                <w:rFonts w:asciiTheme="minorEastAsia" w:hAnsiTheme="minorEastAsia" w:eastAsiaTheme="minorEastAsia"/>
                <w:color w:val="auto"/>
                <w:sz w:val="22"/>
                <w:szCs w:val="18"/>
                <w:highlight w:val="none"/>
              </w:rPr>
              <w:t>*</w:t>
            </w:r>
          </w:p>
        </w:tc>
        <w:tc>
          <w:tcPr>
            <w:tcW w:w="1418" w:type="dxa"/>
            <w:vAlign w:val="center"/>
          </w:tcPr>
          <w:p>
            <w:pPr>
              <w:pStyle w:val="42"/>
              <w:ind w:firstLine="0" w:firstLineChars="0"/>
              <w:rPr>
                <w:rFonts w:hint="default" w:asciiTheme="minorEastAsia" w:hAnsiTheme="minorEastAsia" w:eastAsiaTheme="minorEastAsia"/>
                <w:color w:val="auto"/>
                <w:sz w:val="22"/>
                <w:szCs w:val="18"/>
                <w:lang w:val="en-US" w:eastAsia="zh-CN"/>
              </w:rPr>
            </w:pPr>
            <w:r>
              <w:rPr>
                <w:rFonts w:hint="eastAsia" w:asciiTheme="minorEastAsia" w:hAnsiTheme="minorEastAsia" w:eastAsiaTheme="minorEastAsia"/>
                <w:color w:val="auto"/>
                <w:sz w:val="22"/>
                <w:szCs w:val="18"/>
                <w:highlight w:val="none"/>
                <w:lang w:val="en-US" w:eastAsia="zh-CN"/>
              </w:rPr>
              <w:t>98</w:t>
            </w:r>
          </w:p>
        </w:tc>
        <w:tc>
          <w:tcPr>
            <w:tcW w:w="2084" w:type="dxa"/>
            <w:vAlign w:val="center"/>
          </w:tcPr>
          <w:p>
            <w:pPr>
              <w:pStyle w:val="42"/>
              <w:ind w:firstLine="0" w:firstLineChars="0"/>
              <w:rPr>
                <w:rFonts w:asciiTheme="minorEastAsia" w:hAnsiTheme="minorEastAsia" w:eastAsiaTheme="minorEastAsia"/>
                <w:color w:val="auto"/>
                <w:sz w:val="22"/>
                <w:szCs w:val="18"/>
              </w:rPr>
            </w:pPr>
            <w:r>
              <w:rPr>
                <w:rFonts w:asciiTheme="minorEastAsia" w:hAnsiTheme="minorEastAsia" w:eastAsiaTheme="minorEastAsia"/>
                <w:color w:val="auto"/>
                <w:sz w:val="22"/>
                <w:szCs w:val="18"/>
                <w:highlight w:val="none"/>
              </w:rPr>
              <w:t>*</w:t>
            </w:r>
          </w:p>
        </w:tc>
        <w:tc>
          <w:tcPr>
            <w:tcW w:w="1827" w:type="dxa"/>
            <w:vAlign w:val="center"/>
          </w:tcPr>
          <w:p>
            <w:pPr>
              <w:pStyle w:val="42"/>
              <w:ind w:firstLine="0" w:firstLineChars="0"/>
              <w:rPr>
                <w:rFonts w:asciiTheme="minorEastAsia" w:hAnsiTheme="minorEastAsia" w:eastAsiaTheme="minorEastAsia"/>
                <w:color w:val="auto"/>
                <w:sz w:val="22"/>
                <w:szCs w:val="18"/>
              </w:rPr>
            </w:pPr>
            <w:r>
              <w:rPr>
                <w:rFonts w:asciiTheme="minorEastAsia" w:hAnsiTheme="minorEastAsia" w:eastAsiaTheme="minorEastAsia"/>
                <w:color w:val="auto"/>
                <w:sz w:val="22"/>
                <w:szCs w:val="18"/>
                <w:highlight w:val="none"/>
              </w:rPr>
              <w:t>9</w:t>
            </w:r>
            <w:r>
              <w:rPr>
                <w:rFonts w:hint="eastAsia" w:asciiTheme="minorEastAsia" w:hAnsiTheme="minorEastAsia" w:eastAsiaTheme="minorEastAsia"/>
                <w:color w:val="auto"/>
                <w:sz w:val="22"/>
                <w:szCs w:val="18"/>
                <w:highlight w:val="none"/>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5" w:type="dxa"/>
            <w:left w:w="108" w:type="dxa"/>
            <w:bottom w:w="85" w:type="dxa"/>
            <w:right w:w="108" w:type="dxa"/>
          </w:tblCellMar>
        </w:tblPrEx>
        <w:trPr>
          <w:trHeight w:val="340" w:hRule="atLeast"/>
          <w:jc w:val="center"/>
        </w:trPr>
        <w:tc>
          <w:tcPr>
            <w:tcW w:w="3226" w:type="dxa"/>
            <w:vAlign w:val="center"/>
          </w:tcPr>
          <w:p>
            <w:pPr>
              <w:pStyle w:val="42"/>
              <w:ind w:firstLine="0" w:firstLineChars="0"/>
              <w:rPr>
                <w:rFonts w:asciiTheme="minorEastAsia" w:hAnsiTheme="minorEastAsia" w:eastAsiaTheme="minorEastAsia"/>
                <w:color w:val="auto"/>
                <w:sz w:val="22"/>
                <w:szCs w:val="18"/>
              </w:rPr>
            </w:pPr>
            <w:r>
              <w:rPr>
                <w:rFonts w:asciiTheme="minorEastAsia" w:hAnsiTheme="minorEastAsia" w:eastAsiaTheme="minorEastAsia"/>
                <w:color w:val="auto"/>
                <w:sz w:val="22"/>
                <w:szCs w:val="18"/>
                <w:highlight w:val="none"/>
              </w:rPr>
              <w:t>土壤流失控制比</w:t>
            </w:r>
          </w:p>
        </w:tc>
        <w:tc>
          <w:tcPr>
            <w:tcW w:w="1560" w:type="dxa"/>
            <w:vAlign w:val="center"/>
          </w:tcPr>
          <w:p>
            <w:pPr>
              <w:pStyle w:val="42"/>
              <w:ind w:firstLine="0" w:firstLineChars="0"/>
              <w:rPr>
                <w:rFonts w:asciiTheme="minorEastAsia" w:hAnsiTheme="minorEastAsia" w:eastAsiaTheme="minorEastAsia"/>
                <w:color w:val="auto"/>
                <w:sz w:val="22"/>
                <w:szCs w:val="18"/>
              </w:rPr>
            </w:pPr>
            <w:r>
              <w:rPr>
                <w:rFonts w:asciiTheme="minorEastAsia" w:hAnsiTheme="minorEastAsia" w:eastAsiaTheme="minorEastAsia"/>
                <w:color w:val="auto"/>
                <w:sz w:val="22"/>
                <w:szCs w:val="18"/>
                <w:highlight w:val="none"/>
              </w:rPr>
              <w:t>*</w:t>
            </w:r>
          </w:p>
        </w:tc>
        <w:tc>
          <w:tcPr>
            <w:tcW w:w="1418" w:type="dxa"/>
            <w:vAlign w:val="center"/>
          </w:tcPr>
          <w:p>
            <w:pPr>
              <w:pStyle w:val="42"/>
              <w:ind w:firstLine="0" w:firstLineChars="0"/>
              <w:rPr>
                <w:rFonts w:asciiTheme="minorEastAsia" w:hAnsiTheme="minorEastAsia" w:eastAsiaTheme="minorEastAsia"/>
                <w:color w:val="auto"/>
                <w:sz w:val="22"/>
                <w:szCs w:val="18"/>
              </w:rPr>
            </w:pPr>
            <w:r>
              <w:rPr>
                <w:rFonts w:hint="eastAsia" w:asciiTheme="minorEastAsia" w:hAnsiTheme="minorEastAsia" w:eastAsiaTheme="minorEastAsia"/>
                <w:color w:val="auto"/>
                <w:sz w:val="22"/>
                <w:szCs w:val="18"/>
                <w:highlight w:val="none"/>
                <w:lang w:val="en-US" w:eastAsia="zh-CN"/>
              </w:rPr>
              <w:t>0.9</w:t>
            </w:r>
          </w:p>
        </w:tc>
        <w:tc>
          <w:tcPr>
            <w:tcW w:w="2084" w:type="dxa"/>
            <w:vAlign w:val="center"/>
          </w:tcPr>
          <w:p>
            <w:pPr>
              <w:pStyle w:val="42"/>
              <w:ind w:firstLine="0" w:firstLineChars="0"/>
              <w:rPr>
                <w:rFonts w:asciiTheme="minorEastAsia" w:hAnsiTheme="minorEastAsia" w:eastAsiaTheme="minorEastAsia"/>
                <w:color w:val="auto"/>
                <w:sz w:val="22"/>
                <w:szCs w:val="18"/>
              </w:rPr>
            </w:pPr>
            <w:r>
              <w:rPr>
                <w:rFonts w:asciiTheme="minorEastAsia" w:hAnsiTheme="minorEastAsia" w:eastAsiaTheme="minorEastAsia"/>
                <w:color w:val="auto"/>
                <w:sz w:val="22"/>
                <w:szCs w:val="18"/>
                <w:highlight w:val="none"/>
              </w:rPr>
              <w:t>*</w:t>
            </w:r>
          </w:p>
        </w:tc>
        <w:tc>
          <w:tcPr>
            <w:tcW w:w="1827" w:type="dxa"/>
            <w:vAlign w:val="center"/>
          </w:tcPr>
          <w:p>
            <w:pPr>
              <w:pStyle w:val="42"/>
              <w:ind w:firstLine="0" w:firstLineChars="0"/>
              <w:rPr>
                <w:rFonts w:asciiTheme="minorEastAsia" w:hAnsiTheme="minorEastAsia" w:eastAsiaTheme="minorEastAsia"/>
                <w:color w:val="auto"/>
                <w:sz w:val="22"/>
                <w:szCs w:val="18"/>
              </w:rPr>
            </w:pPr>
            <w:r>
              <w:rPr>
                <w:rFonts w:hint="eastAsia" w:asciiTheme="minorEastAsia" w:hAnsiTheme="minorEastAsia" w:eastAsiaTheme="minorEastAsia"/>
                <w:color w:val="auto"/>
                <w:sz w:val="22"/>
                <w:szCs w:val="18"/>
                <w:highlight w:val="none"/>
                <w:lang w:val="en-US" w:eastAsia="zh-CN"/>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5" w:type="dxa"/>
            <w:left w:w="108" w:type="dxa"/>
            <w:bottom w:w="85" w:type="dxa"/>
            <w:right w:w="108" w:type="dxa"/>
          </w:tblCellMar>
        </w:tblPrEx>
        <w:trPr>
          <w:trHeight w:val="340" w:hRule="atLeast"/>
          <w:jc w:val="center"/>
        </w:trPr>
        <w:tc>
          <w:tcPr>
            <w:tcW w:w="3226" w:type="dxa"/>
            <w:vAlign w:val="center"/>
          </w:tcPr>
          <w:p>
            <w:pPr>
              <w:pStyle w:val="42"/>
              <w:ind w:firstLine="0" w:firstLineChars="0"/>
              <w:rPr>
                <w:rFonts w:asciiTheme="minorEastAsia" w:hAnsiTheme="minorEastAsia" w:eastAsiaTheme="minorEastAsia"/>
                <w:color w:val="auto"/>
                <w:sz w:val="22"/>
                <w:szCs w:val="18"/>
              </w:rPr>
            </w:pPr>
            <w:r>
              <w:rPr>
                <w:rFonts w:hint="eastAsia" w:asciiTheme="minorEastAsia" w:hAnsiTheme="minorEastAsia" w:eastAsiaTheme="minorEastAsia"/>
                <w:color w:val="auto"/>
                <w:sz w:val="22"/>
                <w:szCs w:val="18"/>
                <w:highlight w:val="none"/>
                <w:lang w:eastAsia="zh-CN"/>
              </w:rPr>
              <w:t>渣土防护率</w:t>
            </w:r>
            <w:r>
              <w:rPr>
                <w:rFonts w:asciiTheme="minorEastAsia" w:hAnsiTheme="minorEastAsia" w:eastAsiaTheme="minorEastAsia"/>
                <w:color w:val="auto"/>
                <w:sz w:val="22"/>
                <w:szCs w:val="18"/>
                <w:highlight w:val="none"/>
              </w:rPr>
              <w:t>（%）</w:t>
            </w:r>
          </w:p>
        </w:tc>
        <w:tc>
          <w:tcPr>
            <w:tcW w:w="1560" w:type="dxa"/>
            <w:vAlign w:val="center"/>
          </w:tcPr>
          <w:p>
            <w:pPr>
              <w:pStyle w:val="42"/>
              <w:ind w:firstLine="0" w:firstLineChars="0"/>
              <w:rPr>
                <w:rFonts w:hint="default" w:asciiTheme="minorEastAsia" w:hAnsiTheme="minorEastAsia" w:eastAsiaTheme="minorEastAsia"/>
                <w:color w:val="auto"/>
                <w:sz w:val="22"/>
                <w:szCs w:val="18"/>
                <w:lang w:val="en-US" w:eastAsia="zh-CN"/>
              </w:rPr>
            </w:pPr>
            <w:r>
              <w:rPr>
                <w:rFonts w:hint="eastAsia" w:asciiTheme="minorEastAsia" w:hAnsiTheme="minorEastAsia" w:eastAsiaTheme="minorEastAsia"/>
                <w:color w:val="auto"/>
                <w:sz w:val="22"/>
                <w:szCs w:val="18"/>
                <w:highlight w:val="none"/>
                <w:lang w:val="en-US" w:eastAsia="zh-CN"/>
              </w:rPr>
              <w:t>95</w:t>
            </w:r>
          </w:p>
        </w:tc>
        <w:tc>
          <w:tcPr>
            <w:tcW w:w="1418" w:type="dxa"/>
            <w:vAlign w:val="center"/>
          </w:tcPr>
          <w:p>
            <w:pPr>
              <w:pStyle w:val="42"/>
              <w:ind w:firstLine="0" w:firstLineChars="0"/>
              <w:rPr>
                <w:rFonts w:hint="default" w:asciiTheme="minorEastAsia" w:hAnsiTheme="minorEastAsia" w:eastAsiaTheme="minorEastAsia"/>
                <w:color w:val="auto"/>
                <w:sz w:val="22"/>
                <w:szCs w:val="18"/>
                <w:lang w:val="en-US" w:eastAsia="zh-CN"/>
              </w:rPr>
            </w:pPr>
            <w:r>
              <w:rPr>
                <w:rFonts w:hint="eastAsia" w:asciiTheme="minorEastAsia" w:hAnsiTheme="minorEastAsia" w:eastAsiaTheme="minorEastAsia"/>
                <w:color w:val="auto"/>
                <w:sz w:val="22"/>
                <w:szCs w:val="18"/>
                <w:highlight w:val="none"/>
                <w:lang w:val="en-US" w:eastAsia="zh-CN"/>
              </w:rPr>
              <w:t>97</w:t>
            </w:r>
          </w:p>
        </w:tc>
        <w:tc>
          <w:tcPr>
            <w:tcW w:w="2084" w:type="dxa"/>
            <w:vAlign w:val="center"/>
          </w:tcPr>
          <w:p>
            <w:pPr>
              <w:pStyle w:val="42"/>
              <w:ind w:firstLine="0" w:firstLineChars="0"/>
              <w:rPr>
                <w:rFonts w:hint="default" w:asciiTheme="minorEastAsia" w:hAnsiTheme="minorEastAsia" w:eastAsiaTheme="minorEastAsia"/>
                <w:color w:val="auto"/>
                <w:sz w:val="22"/>
                <w:szCs w:val="18"/>
                <w:lang w:val="en-US" w:eastAsia="zh-CN"/>
              </w:rPr>
            </w:pPr>
            <w:r>
              <w:rPr>
                <w:rFonts w:asciiTheme="minorEastAsia" w:hAnsiTheme="minorEastAsia" w:eastAsiaTheme="minorEastAsia"/>
                <w:color w:val="auto"/>
                <w:sz w:val="22"/>
                <w:szCs w:val="18"/>
                <w:highlight w:val="none"/>
              </w:rPr>
              <w:t>1</w:t>
            </w:r>
          </w:p>
        </w:tc>
        <w:tc>
          <w:tcPr>
            <w:tcW w:w="1827" w:type="dxa"/>
            <w:vAlign w:val="center"/>
          </w:tcPr>
          <w:p>
            <w:pPr>
              <w:pStyle w:val="42"/>
              <w:ind w:firstLine="0" w:firstLineChars="0"/>
              <w:rPr>
                <w:rFonts w:hint="default" w:asciiTheme="minorEastAsia" w:hAnsiTheme="minorEastAsia" w:eastAsiaTheme="minorEastAsia"/>
                <w:color w:val="auto"/>
                <w:sz w:val="22"/>
                <w:szCs w:val="18"/>
                <w:lang w:val="en-US" w:eastAsia="zh-CN"/>
              </w:rPr>
            </w:pPr>
            <w:r>
              <w:rPr>
                <w:rFonts w:asciiTheme="minorEastAsia" w:hAnsiTheme="minorEastAsia" w:eastAsiaTheme="minorEastAsia"/>
                <w:color w:val="auto"/>
                <w:sz w:val="22"/>
                <w:szCs w:val="18"/>
                <w:highlight w:val="non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5" w:type="dxa"/>
            <w:left w:w="108" w:type="dxa"/>
            <w:bottom w:w="85" w:type="dxa"/>
            <w:right w:w="108" w:type="dxa"/>
          </w:tblCellMar>
        </w:tblPrEx>
        <w:trPr>
          <w:trHeight w:val="340" w:hRule="atLeast"/>
          <w:jc w:val="center"/>
        </w:trPr>
        <w:tc>
          <w:tcPr>
            <w:tcW w:w="3226" w:type="dxa"/>
            <w:vAlign w:val="center"/>
          </w:tcPr>
          <w:p>
            <w:pPr>
              <w:pStyle w:val="42"/>
              <w:ind w:firstLine="0" w:firstLineChars="0"/>
              <w:rPr>
                <w:rFonts w:hint="eastAsia" w:asciiTheme="minorEastAsia" w:hAnsiTheme="minorEastAsia" w:eastAsiaTheme="minorEastAsia"/>
                <w:color w:val="auto"/>
                <w:sz w:val="22"/>
                <w:szCs w:val="18"/>
                <w:lang w:eastAsia="zh-CN"/>
              </w:rPr>
            </w:pPr>
            <w:r>
              <w:rPr>
                <w:rFonts w:hint="eastAsia" w:asciiTheme="minorEastAsia" w:hAnsiTheme="minorEastAsia" w:eastAsiaTheme="minorEastAsia"/>
                <w:color w:val="auto"/>
                <w:sz w:val="22"/>
                <w:szCs w:val="18"/>
                <w:highlight w:val="none"/>
                <w:lang w:eastAsia="zh-CN"/>
              </w:rPr>
              <w:t>表土保护</w:t>
            </w:r>
            <w:r>
              <w:rPr>
                <w:rFonts w:asciiTheme="minorEastAsia" w:hAnsiTheme="minorEastAsia" w:eastAsiaTheme="minorEastAsia"/>
                <w:color w:val="auto"/>
                <w:sz w:val="22"/>
                <w:szCs w:val="18"/>
                <w:highlight w:val="none"/>
              </w:rPr>
              <w:t>率（%）</w:t>
            </w:r>
          </w:p>
        </w:tc>
        <w:tc>
          <w:tcPr>
            <w:tcW w:w="1560" w:type="dxa"/>
            <w:vAlign w:val="center"/>
          </w:tcPr>
          <w:p>
            <w:pPr>
              <w:pStyle w:val="42"/>
              <w:ind w:firstLine="0" w:firstLineChars="0"/>
              <w:rPr>
                <w:rFonts w:hint="default" w:asciiTheme="minorEastAsia" w:hAnsiTheme="minorEastAsia" w:eastAsiaTheme="minorEastAsia"/>
                <w:color w:val="auto"/>
                <w:sz w:val="22"/>
                <w:szCs w:val="18"/>
                <w:lang w:val="en-US" w:eastAsia="zh-CN"/>
              </w:rPr>
            </w:pPr>
            <w:r>
              <w:rPr>
                <w:rFonts w:hint="eastAsia" w:asciiTheme="minorEastAsia" w:hAnsiTheme="minorEastAsia" w:eastAsiaTheme="minorEastAsia"/>
                <w:color w:val="auto"/>
                <w:sz w:val="22"/>
                <w:szCs w:val="18"/>
                <w:highlight w:val="none"/>
                <w:lang w:val="en-US" w:eastAsia="zh-CN"/>
              </w:rPr>
              <w:t>92</w:t>
            </w:r>
          </w:p>
        </w:tc>
        <w:tc>
          <w:tcPr>
            <w:tcW w:w="1418" w:type="dxa"/>
            <w:vAlign w:val="center"/>
          </w:tcPr>
          <w:p>
            <w:pPr>
              <w:pStyle w:val="42"/>
              <w:ind w:firstLine="0" w:firstLineChars="0"/>
              <w:rPr>
                <w:rFonts w:hint="default" w:asciiTheme="minorEastAsia" w:hAnsiTheme="minorEastAsia" w:eastAsiaTheme="minorEastAsia"/>
                <w:color w:val="auto"/>
                <w:sz w:val="22"/>
                <w:szCs w:val="18"/>
                <w:lang w:val="en-US" w:eastAsia="zh-CN"/>
              </w:rPr>
            </w:pPr>
            <w:r>
              <w:rPr>
                <w:rFonts w:hint="eastAsia" w:asciiTheme="minorEastAsia" w:hAnsiTheme="minorEastAsia" w:eastAsiaTheme="minorEastAsia"/>
                <w:color w:val="auto"/>
                <w:sz w:val="22"/>
                <w:szCs w:val="18"/>
                <w:highlight w:val="none"/>
                <w:lang w:val="en-US" w:eastAsia="zh-CN"/>
              </w:rPr>
              <w:t>92</w:t>
            </w:r>
          </w:p>
        </w:tc>
        <w:tc>
          <w:tcPr>
            <w:tcW w:w="2084" w:type="dxa"/>
            <w:vAlign w:val="center"/>
          </w:tcPr>
          <w:p>
            <w:pPr>
              <w:pStyle w:val="42"/>
              <w:ind w:firstLine="0" w:firstLineChars="0"/>
              <w:rPr>
                <w:rFonts w:asciiTheme="minorEastAsia" w:hAnsiTheme="minorEastAsia" w:eastAsiaTheme="minorEastAsia"/>
                <w:color w:val="auto"/>
                <w:sz w:val="22"/>
                <w:szCs w:val="18"/>
              </w:rPr>
            </w:pPr>
            <w:r>
              <w:rPr>
                <w:rFonts w:hint="eastAsia" w:asciiTheme="minorEastAsia" w:hAnsiTheme="minorEastAsia" w:eastAsiaTheme="minorEastAsia"/>
                <w:color w:val="auto"/>
                <w:sz w:val="22"/>
                <w:szCs w:val="18"/>
                <w:highlight w:val="none"/>
                <w:lang w:val="en-US" w:eastAsia="zh-CN"/>
              </w:rPr>
              <w:t>92</w:t>
            </w:r>
          </w:p>
        </w:tc>
        <w:tc>
          <w:tcPr>
            <w:tcW w:w="1827" w:type="dxa"/>
            <w:vAlign w:val="center"/>
          </w:tcPr>
          <w:p>
            <w:pPr>
              <w:pStyle w:val="42"/>
              <w:ind w:firstLine="0" w:firstLineChars="0"/>
              <w:rPr>
                <w:rFonts w:asciiTheme="minorEastAsia" w:hAnsiTheme="minorEastAsia" w:eastAsiaTheme="minorEastAsia"/>
                <w:color w:val="auto"/>
                <w:sz w:val="22"/>
                <w:szCs w:val="18"/>
              </w:rPr>
            </w:pPr>
            <w:r>
              <w:rPr>
                <w:rFonts w:hint="eastAsia" w:asciiTheme="minorEastAsia" w:hAnsiTheme="minorEastAsia" w:eastAsiaTheme="minorEastAsia"/>
                <w:color w:val="auto"/>
                <w:sz w:val="22"/>
                <w:szCs w:val="18"/>
                <w:highlight w:val="none"/>
                <w:lang w:val="en-US" w:eastAsia="zh-CN"/>
              </w:rPr>
              <w:t>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5" w:type="dxa"/>
            <w:left w:w="108" w:type="dxa"/>
            <w:bottom w:w="85" w:type="dxa"/>
            <w:right w:w="108" w:type="dxa"/>
          </w:tblCellMar>
        </w:tblPrEx>
        <w:trPr>
          <w:trHeight w:val="340" w:hRule="atLeast"/>
          <w:jc w:val="center"/>
        </w:trPr>
        <w:tc>
          <w:tcPr>
            <w:tcW w:w="3226" w:type="dxa"/>
            <w:vAlign w:val="center"/>
          </w:tcPr>
          <w:p>
            <w:pPr>
              <w:pStyle w:val="42"/>
              <w:ind w:firstLine="0" w:firstLineChars="0"/>
              <w:rPr>
                <w:rFonts w:asciiTheme="minorEastAsia" w:hAnsiTheme="minorEastAsia" w:eastAsiaTheme="minorEastAsia"/>
                <w:color w:val="auto"/>
                <w:sz w:val="22"/>
                <w:szCs w:val="18"/>
              </w:rPr>
            </w:pPr>
            <w:r>
              <w:rPr>
                <w:rFonts w:asciiTheme="minorEastAsia" w:hAnsiTheme="minorEastAsia" w:eastAsiaTheme="minorEastAsia"/>
                <w:color w:val="auto"/>
                <w:sz w:val="22"/>
                <w:szCs w:val="18"/>
                <w:highlight w:val="none"/>
              </w:rPr>
              <w:t>林草植被恢复率（%）</w:t>
            </w:r>
          </w:p>
        </w:tc>
        <w:tc>
          <w:tcPr>
            <w:tcW w:w="1560" w:type="dxa"/>
            <w:vAlign w:val="center"/>
          </w:tcPr>
          <w:p>
            <w:pPr>
              <w:pStyle w:val="42"/>
              <w:ind w:firstLine="0" w:firstLineChars="0"/>
              <w:rPr>
                <w:rFonts w:asciiTheme="minorEastAsia" w:hAnsiTheme="minorEastAsia" w:eastAsiaTheme="minorEastAsia"/>
                <w:color w:val="auto"/>
                <w:sz w:val="22"/>
                <w:szCs w:val="18"/>
              </w:rPr>
            </w:pPr>
            <w:r>
              <w:rPr>
                <w:rFonts w:asciiTheme="minorEastAsia" w:hAnsiTheme="minorEastAsia" w:eastAsiaTheme="minorEastAsia"/>
                <w:color w:val="auto"/>
                <w:sz w:val="22"/>
                <w:szCs w:val="18"/>
                <w:highlight w:val="none"/>
              </w:rPr>
              <w:t>*</w:t>
            </w:r>
          </w:p>
        </w:tc>
        <w:tc>
          <w:tcPr>
            <w:tcW w:w="1418" w:type="dxa"/>
            <w:vAlign w:val="center"/>
          </w:tcPr>
          <w:p>
            <w:pPr>
              <w:pStyle w:val="42"/>
              <w:ind w:firstLine="0" w:firstLineChars="0"/>
              <w:rPr>
                <w:rFonts w:hint="default" w:asciiTheme="minorEastAsia" w:hAnsiTheme="minorEastAsia" w:eastAsiaTheme="minorEastAsia"/>
                <w:color w:val="auto"/>
                <w:sz w:val="22"/>
                <w:szCs w:val="18"/>
                <w:lang w:val="en-US" w:eastAsia="zh-CN"/>
              </w:rPr>
            </w:pPr>
            <w:r>
              <w:rPr>
                <w:rFonts w:asciiTheme="minorEastAsia" w:hAnsiTheme="minorEastAsia" w:eastAsiaTheme="minorEastAsia"/>
                <w:color w:val="auto"/>
                <w:sz w:val="22"/>
                <w:szCs w:val="18"/>
                <w:highlight w:val="none"/>
              </w:rPr>
              <w:t>9</w:t>
            </w:r>
            <w:r>
              <w:rPr>
                <w:rFonts w:hint="eastAsia" w:asciiTheme="minorEastAsia" w:hAnsiTheme="minorEastAsia" w:eastAsiaTheme="minorEastAsia"/>
                <w:color w:val="auto"/>
                <w:sz w:val="22"/>
                <w:szCs w:val="18"/>
                <w:highlight w:val="none"/>
                <w:lang w:val="en-US" w:eastAsia="zh-CN"/>
              </w:rPr>
              <w:t>8</w:t>
            </w:r>
          </w:p>
        </w:tc>
        <w:tc>
          <w:tcPr>
            <w:tcW w:w="2084" w:type="dxa"/>
            <w:vAlign w:val="center"/>
          </w:tcPr>
          <w:p>
            <w:pPr>
              <w:pStyle w:val="42"/>
              <w:ind w:firstLine="0" w:firstLineChars="0"/>
              <w:rPr>
                <w:rFonts w:asciiTheme="minorEastAsia" w:hAnsiTheme="minorEastAsia" w:eastAsiaTheme="minorEastAsia"/>
                <w:color w:val="auto"/>
                <w:sz w:val="22"/>
                <w:szCs w:val="18"/>
              </w:rPr>
            </w:pPr>
            <w:r>
              <w:rPr>
                <w:rFonts w:asciiTheme="minorEastAsia" w:hAnsiTheme="minorEastAsia" w:eastAsiaTheme="minorEastAsia"/>
                <w:color w:val="auto"/>
                <w:sz w:val="22"/>
                <w:szCs w:val="18"/>
                <w:highlight w:val="none"/>
              </w:rPr>
              <w:t>*</w:t>
            </w:r>
          </w:p>
        </w:tc>
        <w:tc>
          <w:tcPr>
            <w:tcW w:w="1827" w:type="dxa"/>
            <w:vAlign w:val="center"/>
          </w:tcPr>
          <w:p>
            <w:pPr>
              <w:pStyle w:val="42"/>
              <w:ind w:firstLine="0" w:firstLineChars="0"/>
              <w:rPr>
                <w:rFonts w:asciiTheme="minorEastAsia" w:hAnsiTheme="minorEastAsia" w:eastAsiaTheme="minorEastAsia"/>
                <w:color w:val="auto"/>
                <w:sz w:val="22"/>
                <w:szCs w:val="18"/>
              </w:rPr>
            </w:pPr>
            <w:r>
              <w:rPr>
                <w:rFonts w:asciiTheme="minorEastAsia" w:hAnsiTheme="minorEastAsia" w:eastAsiaTheme="minorEastAsia"/>
                <w:color w:val="auto"/>
                <w:sz w:val="22"/>
                <w:szCs w:val="18"/>
                <w:highlight w:val="none"/>
              </w:rPr>
              <w:t>9</w:t>
            </w:r>
            <w:r>
              <w:rPr>
                <w:rFonts w:hint="eastAsia" w:asciiTheme="minorEastAsia" w:hAnsiTheme="minorEastAsia" w:eastAsiaTheme="minorEastAsia"/>
                <w:color w:val="auto"/>
                <w:sz w:val="22"/>
                <w:szCs w:val="18"/>
                <w:highlight w:val="none"/>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5" w:type="dxa"/>
            <w:left w:w="108" w:type="dxa"/>
            <w:bottom w:w="85" w:type="dxa"/>
            <w:right w:w="108" w:type="dxa"/>
          </w:tblCellMar>
        </w:tblPrEx>
        <w:trPr>
          <w:trHeight w:val="340" w:hRule="atLeast"/>
          <w:jc w:val="center"/>
        </w:trPr>
        <w:tc>
          <w:tcPr>
            <w:tcW w:w="3226" w:type="dxa"/>
            <w:vAlign w:val="center"/>
          </w:tcPr>
          <w:p>
            <w:pPr>
              <w:pStyle w:val="42"/>
              <w:ind w:firstLine="0" w:firstLineChars="0"/>
              <w:rPr>
                <w:rFonts w:asciiTheme="minorEastAsia" w:hAnsiTheme="minorEastAsia" w:eastAsiaTheme="minorEastAsia"/>
                <w:color w:val="auto"/>
                <w:sz w:val="22"/>
                <w:szCs w:val="18"/>
              </w:rPr>
            </w:pPr>
            <w:r>
              <w:rPr>
                <w:rFonts w:asciiTheme="minorEastAsia" w:hAnsiTheme="minorEastAsia" w:eastAsiaTheme="minorEastAsia"/>
                <w:color w:val="auto"/>
                <w:sz w:val="22"/>
                <w:szCs w:val="18"/>
                <w:highlight w:val="none"/>
              </w:rPr>
              <w:t>林草覆盖率（%）</w:t>
            </w:r>
          </w:p>
        </w:tc>
        <w:tc>
          <w:tcPr>
            <w:tcW w:w="1560" w:type="dxa"/>
            <w:vAlign w:val="center"/>
          </w:tcPr>
          <w:p>
            <w:pPr>
              <w:pStyle w:val="42"/>
              <w:ind w:firstLine="0" w:firstLineChars="0"/>
              <w:rPr>
                <w:rFonts w:asciiTheme="minorEastAsia" w:hAnsiTheme="minorEastAsia" w:eastAsiaTheme="minorEastAsia"/>
                <w:color w:val="auto"/>
                <w:sz w:val="22"/>
                <w:szCs w:val="18"/>
              </w:rPr>
            </w:pPr>
            <w:r>
              <w:rPr>
                <w:rFonts w:asciiTheme="minorEastAsia" w:hAnsiTheme="minorEastAsia" w:eastAsiaTheme="minorEastAsia"/>
                <w:color w:val="auto"/>
                <w:sz w:val="22"/>
                <w:szCs w:val="18"/>
                <w:highlight w:val="none"/>
              </w:rPr>
              <w:t>*</w:t>
            </w:r>
          </w:p>
        </w:tc>
        <w:tc>
          <w:tcPr>
            <w:tcW w:w="1418" w:type="dxa"/>
            <w:vAlign w:val="center"/>
          </w:tcPr>
          <w:p>
            <w:pPr>
              <w:pStyle w:val="42"/>
              <w:ind w:firstLine="0" w:firstLineChars="0"/>
              <w:rPr>
                <w:rFonts w:hint="default" w:asciiTheme="minorEastAsia" w:hAnsiTheme="minorEastAsia" w:eastAsiaTheme="minorEastAsia"/>
                <w:color w:val="auto"/>
                <w:sz w:val="22"/>
                <w:szCs w:val="18"/>
                <w:lang w:val="en-US" w:eastAsia="zh-CN"/>
              </w:rPr>
            </w:pPr>
            <w:r>
              <w:rPr>
                <w:rFonts w:asciiTheme="minorEastAsia" w:hAnsiTheme="minorEastAsia" w:eastAsiaTheme="minorEastAsia"/>
                <w:color w:val="auto"/>
                <w:sz w:val="22"/>
                <w:szCs w:val="18"/>
                <w:highlight w:val="none"/>
              </w:rPr>
              <w:t>2</w:t>
            </w:r>
            <w:r>
              <w:rPr>
                <w:rFonts w:hint="eastAsia" w:asciiTheme="minorEastAsia" w:hAnsiTheme="minorEastAsia" w:eastAsiaTheme="minorEastAsia"/>
                <w:color w:val="auto"/>
                <w:sz w:val="22"/>
                <w:szCs w:val="18"/>
                <w:highlight w:val="none"/>
                <w:lang w:val="en-US" w:eastAsia="zh-CN"/>
              </w:rPr>
              <w:t>5</w:t>
            </w:r>
          </w:p>
        </w:tc>
        <w:tc>
          <w:tcPr>
            <w:tcW w:w="2084" w:type="dxa"/>
            <w:vAlign w:val="center"/>
          </w:tcPr>
          <w:p>
            <w:pPr>
              <w:pStyle w:val="42"/>
              <w:ind w:firstLine="0" w:firstLineChars="0"/>
              <w:rPr>
                <w:rFonts w:asciiTheme="minorEastAsia" w:hAnsiTheme="minorEastAsia" w:eastAsiaTheme="minorEastAsia"/>
                <w:color w:val="auto"/>
                <w:sz w:val="22"/>
                <w:szCs w:val="18"/>
              </w:rPr>
            </w:pPr>
            <w:r>
              <w:rPr>
                <w:rFonts w:asciiTheme="minorEastAsia" w:hAnsiTheme="minorEastAsia" w:eastAsiaTheme="minorEastAsia"/>
                <w:color w:val="auto"/>
                <w:sz w:val="22"/>
                <w:szCs w:val="18"/>
                <w:highlight w:val="none"/>
              </w:rPr>
              <w:t>*</w:t>
            </w:r>
          </w:p>
        </w:tc>
        <w:tc>
          <w:tcPr>
            <w:tcW w:w="1827" w:type="dxa"/>
            <w:vAlign w:val="center"/>
          </w:tcPr>
          <w:p>
            <w:pPr>
              <w:pStyle w:val="42"/>
              <w:ind w:firstLine="0" w:firstLineChars="0"/>
              <w:rPr>
                <w:rFonts w:hint="default" w:asciiTheme="minorEastAsia" w:hAnsiTheme="minorEastAsia" w:eastAsiaTheme="minorEastAsia"/>
                <w:color w:val="auto"/>
                <w:sz w:val="22"/>
                <w:szCs w:val="18"/>
                <w:lang w:val="en-US" w:eastAsia="zh-CN"/>
              </w:rPr>
            </w:pPr>
            <w:r>
              <w:rPr>
                <w:rFonts w:hint="eastAsia" w:asciiTheme="minorEastAsia" w:hAnsiTheme="minorEastAsia" w:eastAsiaTheme="minorEastAsia"/>
                <w:color w:val="auto"/>
                <w:sz w:val="22"/>
                <w:szCs w:val="18"/>
                <w:highlight w:val="none"/>
                <w:lang w:val="en-US" w:eastAsia="zh-CN"/>
              </w:rPr>
              <w:t>25</w:t>
            </w:r>
          </w:p>
        </w:tc>
      </w:tr>
    </w:tbl>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bCs/>
          <w:snapToGrid w:val="0"/>
          <w:color w:val="auto"/>
          <w:kern w:val="0"/>
          <w:sz w:val="28"/>
          <w:szCs w:val="21"/>
        </w:rPr>
        <w:t>注：“</w:t>
      </w:r>
      <w:r>
        <w:rPr>
          <w:rFonts w:cs="宋体" w:asciiTheme="minorEastAsia" w:hAnsiTheme="minorEastAsia" w:eastAsiaTheme="minorEastAsia"/>
          <w:color w:val="auto"/>
          <w:sz w:val="28"/>
          <w:szCs w:val="21"/>
        </w:rPr>
        <w:t>*”表示指标值应根据批准的水土保持方案措施实施进度，通过动态监测获得，并作为竣工验收的依据之一。</w:t>
      </w:r>
    </w:p>
    <w:p>
      <w:pPr>
        <w:pStyle w:val="39"/>
        <w:numPr>
          <w:ilvl w:val="1"/>
          <w:numId w:val="9"/>
        </w:numPr>
        <w:rPr>
          <w:rFonts w:cs="宋体" w:asciiTheme="minorEastAsia" w:hAnsiTheme="minorEastAsia" w:eastAsiaTheme="minorEastAsia"/>
          <w:color w:val="auto"/>
          <w:sz w:val="28"/>
          <w:szCs w:val="28"/>
        </w:rPr>
      </w:pPr>
      <w:bookmarkStart w:id="189" w:name="_Toc14406"/>
      <w:r>
        <w:rPr>
          <w:rFonts w:cs="宋体" w:asciiTheme="minorEastAsia" w:hAnsiTheme="minorEastAsia" w:eastAsiaTheme="minorEastAsia"/>
          <w:color w:val="auto"/>
          <w:sz w:val="28"/>
          <w:szCs w:val="28"/>
        </w:rPr>
        <w:t>水土流失</w:t>
      </w:r>
      <w:r>
        <w:rPr>
          <w:rFonts w:cs="宋体"/>
          <w:color w:val="auto"/>
          <w:sz w:val="28"/>
          <w:szCs w:val="28"/>
        </w:rPr>
        <w:t>防治</w:t>
      </w:r>
      <w:r>
        <w:rPr>
          <w:rFonts w:cs="宋体" w:asciiTheme="minorEastAsia" w:hAnsiTheme="minorEastAsia" w:eastAsiaTheme="minorEastAsia"/>
          <w:color w:val="auto"/>
          <w:sz w:val="28"/>
          <w:szCs w:val="28"/>
        </w:rPr>
        <w:t>方案设计</w:t>
      </w:r>
      <w:bookmarkEnd w:id="189"/>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本工程水土保持方案设计遵循《中华人民共和国水土保持法》中“预防为主、防治结合”的主导思想，结合主体工程设计、当地的土地利用规划、水土保持生态建设规划等，综合布置本工程的防治措施。在方案设计中充分考虑了工程日后的发展利用，在满足蓄水保土的前提下，尽量满足生态要求，并尽可能提高工程建设区域的植被覆盖度。</w:t>
      </w:r>
    </w:p>
    <w:p>
      <w:pPr>
        <w:pStyle w:val="39"/>
        <w:numPr>
          <w:ilvl w:val="1"/>
          <w:numId w:val="9"/>
        </w:numPr>
        <w:rPr>
          <w:rFonts w:cs="宋体" w:asciiTheme="minorEastAsia" w:hAnsiTheme="minorEastAsia" w:eastAsiaTheme="minorEastAsia"/>
          <w:color w:val="auto"/>
          <w:sz w:val="28"/>
          <w:szCs w:val="28"/>
        </w:rPr>
      </w:pPr>
      <w:bookmarkStart w:id="190" w:name="_Toc374282000"/>
      <w:bookmarkStart w:id="191" w:name="_Toc381810357"/>
      <w:bookmarkStart w:id="192" w:name="_Toc10755"/>
      <w:r>
        <w:rPr>
          <w:rFonts w:cs="宋体" w:asciiTheme="minorEastAsia" w:hAnsiTheme="minorEastAsia" w:eastAsiaTheme="minorEastAsia"/>
          <w:color w:val="auto"/>
          <w:sz w:val="28"/>
          <w:szCs w:val="28"/>
        </w:rPr>
        <w:t>水土保持监测规划</w:t>
      </w:r>
      <w:bookmarkEnd w:id="190"/>
      <w:bookmarkEnd w:id="191"/>
      <w:bookmarkEnd w:id="192"/>
    </w:p>
    <w:p>
      <w:pPr>
        <w:ind w:firstLine="565"/>
        <w:rPr>
          <w:rFonts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rPr>
        <w:t>（1）</w:t>
      </w:r>
      <w:r>
        <w:rPr>
          <w:rFonts w:cs="宋体" w:asciiTheme="minorEastAsia" w:hAnsiTheme="minorEastAsia" w:eastAsiaTheme="minorEastAsia"/>
          <w:color w:val="auto"/>
          <w:sz w:val="28"/>
          <w:szCs w:val="21"/>
        </w:rPr>
        <w:t>监测时段划分</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工程计划分3个时段进行进监测，施工前期监测、施工过程监测及竣工后监测。</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（2）监测点布设</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计划在主体工程施工区及施工营造布置区各布置一个监测点，共2个。</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（3）监测内容</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施工前调查监测项目区降雨量、水土流失量、植被及土壤等自然状况；施工期监测水土流失量、地貌、地表植被影响程度及工程弃渣情况；工程竣工后监测植被恢复、水土流失量及土壤等状况。</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（4）监测频率</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施工前调查监测一次。施工期降雨量、水土流失量每逢降中雨以上，在雨后监测一次，其余项目每月观测一次。运行期第一个雨季结束后</w:t>
      </w:r>
      <w:r>
        <w:rPr>
          <w:rFonts w:cs="宋体" w:asciiTheme="minorEastAsia" w:hAnsiTheme="minorEastAsia" w:eastAsiaTheme="minorEastAsia"/>
          <w:color w:val="auto"/>
          <w:sz w:val="28"/>
          <w:szCs w:val="21"/>
          <w:highlight w:val="none"/>
        </w:rPr>
        <w:t>监测</w:t>
      </w:r>
      <w:r>
        <w:rPr>
          <w:rFonts w:cs="宋体" w:asciiTheme="minorEastAsia" w:hAnsiTheme="minorEastAsia" w:eastAsiaTheme="minorEastAsia"/>
          <w:color w:val="auto"/>
          <w:sz w:val="28"/>
          <w:szCs w:val="21"/>
        </w:rPr>
        <w:t>。</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（5）</w:t>
      </w:r>
      <w:r>
        <w:rPr>
          <w:rFonts w:cs="宋体" w:asciiTheme="minorEastAsia" w:hAnsiTheme="minorEastAsia" w:eastAsiaTheme="minorEastAsia"/>
          <w:color w:val="auto"/>
          <w:sz w:val="28"/>
          <w:szCs w:val="21"/>
          <w:highlight w:val="none"/>
        </w:rPr>
        <w:t>监测</w:t>
      </w:r>
      <w:r>
        <w:rPr>
          <w:rFonts w:cs="宋体" w:asciiTheme="minorEastAsia" w:hAnsiTheme="minorEastAsia" w:eastAsiaTheme="minorEastAsia"/>
          <w:color w:val="auto"/>
          <w:sz w:val="28"/>
          <w:szCs w:val="21"/>
        </w:rPr>
        <w:t>方法</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水土流失量用桩钉法、体积量测法监测，植被生长状况用小样方法，降雨量利用自计量雨观测计观测，弃渣量通过查询、询问和测量得到。</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详尽的监测计划由具备相应监测资质的单位进行编制。</w:t>
      </w:r>
    </w:p>
    <w:p>
      <w:pPr>
        <w:ind w:firstLine="565"/>
        <w:rPr>
          <w:rFonts w:cs="宋体" w:asciiTheme="minorEastAsia" w:hAnsiTheme="minorEastAsia" w:eastAsiaTheme="minorEastAsia"/>
          <w:color w:val="auto"/>
          <w:sz w:val="28"/>
          <w:szCs w:val="21"/>
        </w:rPr>
        <w:sectPr>
          <w:pgSz w:w="11906" w:h="16838"/>
          <w:pgMar w:top="1440" w:right="1080" w:bottom="1440" w:left="1080" w:header="851" w:footer="992" w:gutter="567"/>
          <w:pgBorders>
            <w:top w:val="none" w:sz="0" w:space="0"/>
            <w:left w:val="none" w:sz="0" w:space="0"/>
            <w:bottom w:val="none" w:sz="0" w:space="0"/>
            <w:right w:val="none" w:sz="0" w:space="0"/>
          </w:pgBorders>
          <w:pgNumType w:fmt="decimal"/>
          <w:cols w:space="425" w:num="1"/>
          <w:docGrid w:type="linesAndChars" w:linePitch="388" w:charSpace="526"/>
        </w:sectPr>
      </w:pPr>
    </w:p>
    <w:p>
      <w:pPr>
        <w:pStyle w:val="38"/>
        <w:numPr>
          <w:ilvl w:val="0"/>
          <w:numId w:val="9"/>
        </w:numPr>
        <w:rPr>
          <w:rFonts w:hint="eastAsia" w:cs="宋体"/>
          <w:color w:val="auto"/>
          <w:sz w:val="32"/>
          <w:szCs w:val="40"/>
        </w:rPr>
      </w:pPr>
      <w:bookmarkStart w:id="193" w:name="_Toc25044"/>
      <w:bookmarkStart w:id="194" w:name="_Toc9697"/>
      <w:bookmarkStart w:id="195" w:name="_Toc30329"/>
      <w:bookmarkStart w:id="196" w:name="_Toc22082"/>
      <w:bookmarkStart w:id="197" w:name="_Toc26497"/>
      <w:bookmarkStart w:id="198" w:name="_Toc28754"/>
      <w:r>
        <w:rPr>
          <w:rFonts w:hint="eastAsia" w:cs="宋体"/>
          <w:color w:val="auto"/>
          <w:sz w:val="32"/>
          <w:szCs w:val="40"/>
          <w:lang w:val="en-US" w:eastAsia="zh-CN"/>
        </w:rPr>
        <w:t>征地</w:t>
      </w:r>
      <w:r>
        <w:rPr>
          <w:rFonts w:hint="eastAsia" w:cs="宋体"/>
          <w:color w:val="auto"/>
          <w:sz w:val="32"/>
          <w:szCs w:val="40"/>
          <w:highlight w:val="none"/>
          <w:lang w:val="en-US" w:eastAsia="zh-CN"/>
        </w:rPr>
        <w:t>和</w:t>
      </w:r>
      <w:bookmarkEnd w:id="193"/>
      <w:bookmarkEnd w:id="194"/>
      <w:bookmarkEnd w:id="195"/>
      <w:bookmarkEnd w:id="196"/>
      <w:bookmarkEnd w:id="197"/>
      <w:r>
        <w:rPr>
          <w:rFonts w:hint="eastAsia" w:cs="宋体"/>
          <w:color w:val="auto"/>
          <w:sz w:val="32"/>
          <w:szCs w:val="40"/>
          <w:highlight w:val="none"/>
          <w:lang w:val="en-US" w:eastAsia="zh-CN"/>
        </w:rPr>
        <w:t>借地</w:t>
      </w:r>
      <w:bookmarkEnd w:id="198"/>
    </w:p>
    <w:p>
      <w:pPr>
        <w:pStyle w:val="39"/>
        <w:numPr>
          <w:ilvl w:val="1"/>
          <w:numId w:val="9"/>
        </w:numPr>
        <w:rPr>
          <w:rFonts w:hint="eastAsia" w:cs="宋体"/>
          <w:color w:val="auto"/>
          <w:sz w:val="28"/>
          <w:szCs w:val="28"/>
        </w:rPr>
      </w:pPr>
      <w:bookmarkStart w:id="199" w:name="_Toc28017"/>
      <w:bookmarkStart w:id="200" w:name="_Toc18678"/>
      <w:bookmarkStart w:id="201" w:name="_Toc13879"/>
      <w:bookmarkStart w:id="202" w:name="_Toc17774"/>
      <w:bookmarkStart w:id="203" w:name="_Toc8077"/>
      <w:bookmarkStart w:id="204" w:name="_Toc21954"/>
      <w:r>
        <w:rPr>
          <w:rFonts w:hint="eastAsia" w:cs="宋体"/>
          <w:color w:val="auto"/>
          <w:sz w:val="28"/>
          <w:szCs w:val="28"/>
          <w:lang w:val="en-US" w:eastAsia="zh-CN"/>
        </w:rPr>
        <w:t>设计依据</w:t>
      </w:r>
      <w:bookmarkEnd w:id="199"/>
      <w:bookmarkEnd w:id="200"/>
      <w:bookmarkEnd w:id="201"/>
      <w:bookmarkEnd w:id="202"/>
      <w:bookmarkEnd w:id="203"/>
      <w:bookmarkEnd w:id="204"/>
    </w:p>
    <w:p>
      <w:pPr>
        <w:pStyle w:val="40"/>
        <w:numPr>
          <w:ilvl w:val="2"/>
          <w:numId w:val="9"/>
        </w:numPr>
        <w:rPr>
          <w:rFonts w:hint="eastAsia" w:cs="宋体" w:asciiTheme="minorEastAsia" w:hAnsiTheme="minorEastAsia" w:eastAsiaTheme="minorEastAsia"/>
          <w:color w:val="auto"/>
          <w:sz w:val="28"/>
          <w:szCs w:val="28"/>
        </w:rPr>
      </w:pPr>
      <w:r>
        <w:rPr>
          <w:rFonts w:hint="eastAsia" w:cs="宋体" w:asciiTheme="minorEastAsia" w:hAnsiTheme="minorEastAsia" w:eastAsiaTheme="minorEastAsia"/>
          <w:color w:val="auto"/>
          <w:sz w:val="28"/>
          <w:szCs w:val="28"/>
        </w:rPr>
        <w:t>设计原则及依据</w:t>
      </w:r>
    </w:p>
    <w:p>
      <w:pPr>
        <w:rPr>
          <w:rFonts w:hint="eastAsia" w:cs="宋体"/>
          <w:color w:val="auto"/>
          <w:sz w:val="28"/>
          <w:szCs w:val="21"/>
          <w:lang w:eastAsia="zh-CN"/>
        </w:rPr>
      </w:pPr>
      <w:r>
        <w:rPr>
          <w:rFonts w:hint="eastAsia" w:cs="宋体"/>
          <w:color w:val="auto"/>
          <w:sz w:val="28"/>
          <w:szCs w:val="21"/>
          <w:lang w:eastAsia="zh-CN"/>
        </w:rPr>
        <w:t>一、设计原则</w:t>
      </w:r>
    </w:p>
    <w:p>
      <w:pPr>
        <w:rPr>
          <w:rFonts w:hint="eastAsia" w:cs="宋体"/>
          <w:color w:val="auto"/>
          <w:sz w:val="28"/>
          <w:szCs w:val="21"/>
        </w:rPr>
      </w:pPr>
      <w:r>
        <w:rPr>
          <w:rFonts w:hint="eastAsia" w:cs="宋体"/>
          <w:color w:val="auto"/>
          <w:sz w:val="28"/>
          <w:szCs w:val="21"/>
        </w:rPr>
        <w:t>少征用土地面积，少拆迁房屋，少迁移人口，深入实地调查，兼顾工程建设和人民群众两方面的根本利益。</w:t>
      </w:r>
    </w:p>
    <w:p>
      <w:pPr>
        <w:rPr>
          <w:rFonts w:hint="eastAsia" w:cs="宋体"/>
          <w:color w:val="auto"/>
          <w:sz w:val="28"/>
          <w:szCs w:val="21"/>
          <w:lang w:eastAsia="zh-CN"/>
        </w:rPr>
      </w:pPr>
      <w:r>
        <w:rPr>
          <w:rFonts w:hint="eastAsia" w:cs="宋体"/>
          <w:color w:val="auto"/>
          <w:sz w:val="28"/>
          <w:szCs w:val="21"/>
          <w:lang w:eastAsia="zh-CN"/>
        </w:rPr>
        <w:t>二、设计依据</w:t>
      </w:r>
    </w:p>
    <w:p>
      <w:pPr>
        <w:rPr>
          <w:rFonts w:hint="eastAsia" w:cs="宋体"/>
          <w:color w:val="auto"/>
          <w:sz w:val="28"/>
          <w:szCs w:val="21"/>
        </w:rPr>
      </w:pPr>
      <w:r>
        <w:rPr>
          <w:rFonts w:hint="eastAsia" w:cs="宋体"/>
          <w:color w:val="auto"/>
          <w:sz w:val="28"/>
          <w:szCs w:val="21"/>
        </w:rPr>
        <w:t>1</w:t>
      </w:r>
      <w:r>
        <w:rPr>
          <w:rFonts w:hint="eastAsia" w:cs="宋体"/>
          <w:color w:val="auto"/>
          <w:sz w:val="28"/>
          <w:szCs w:val="21"/>
          <w:highlight w:val="none"/>
        </w:rPr>
        <w:t>）</w:t>
      </w:r>
      <w:r>
        <w:rPr>
          <w:rFonts w:hint="eastAsia" w:cs="宋体"/>
          <w:color w:val="auto"/>
          <w:sz w:val="28"/>
          <w:szCs w:val="21"/>
        </w:rPr>
        <w:t>《中华人民共和国土地管理法》；</w:t>
      </w:r>
    </w:p>
    <w:p>
      <w:pPr>
        <w:rPr>
          <w:rFonts w:hint="eastAsia" w:cs="宋体"/>
          <w:color w:val="auto"/>
          <w:sz w:val="28"/>
          <w:szCs w:val="21"/>
        </w:rPr>
      </w:pPr>
      <w:r>
        <w:rPr>
          <w:rFonts w:hint="eastAsia" w:cs="宋体"/>
          <w:color w:val="auto"/>
          <w:sz w:val="28"/>
          <w:szCs w:val="21"/>
        </w:rPr>
        <w:t>2</w:t>
      </w:r>
      <w:r>
        <w:rPr>
          <w:rFonts w:hint="eastAsia" w:cs="宋体"/>
          <w:color w:val="auto"/>
          <w:sz w:val="28"/>
          <w:szCs w:val="21"/>
          <w:highlight w:val="none"/>
        </w:rPr>
        <w:t>）</w:t>
      </w:r>
      <w:r>
        <w:rPr>
          <w:rFonts w:hint="eastAsia" w:cs="宋体"/>
          <w:color w:val="auto"/>
          <w:sz w:val="28"/>
          <w:szCs w:val="21"/>
        </w:rPr>
        <w:t>《大中型水利水电工程建设征地补偿和移民安置条例》国务院令第471号；</w:t>
      </w:r>
    </w:p>
    <w:p>
      <w:pPr>
        <w:rPr>
          <w:rFonts w:hint="eastAsia" w:cs="宋体"/>
          <w:color w:val="auto"/>
          <w:sz w:val="28"/>
          <w:szCs w:val="21"/>
        </w:rPr>
      </w:pPr>
      <w:r>
        <w:rPr>
          <w:rFonts w:hint="eastAsia" w:cs="宋体"/>
          <w:color w:val="auto"/>
          <w:sz w:val="28"/>
          <w:szCs w:val="21"/>
          <w:lang w:val="en-US" w:eastAsia="zh-CN"/>
        </w:rPr>
        <w:t>3</w:t>
      </w:r>
      <w:r>
        <w:rPr>
          <w:rFonts w:hint="eastAsia" w:cs="宋体"/>
          <w:color w:val="auto"/>
          <w:sz w:val="28"/>
          <w:szCs w:val="21"/>
          <w:highlight w:val="none"/>
        </w:rPr>
        <w:t>）</w:t>
      </w:r>
      <w:r>
        <w:rPr>
          <w:rFonts w:hint="eastAsia" w:cs="宋体"/>
          <w:color w:val="auto"/>
          <w:sz w:val="28"/>
          <w:szCs w:val="21"/>
        </w:rPr>
        <w:t>《关于水利电力建设用地有关问题的通知》国土资发[2001]355号；</w:t>
      </w:r>
    </w:p>
    <w:p>
      <w:pPr>
        <w:rPr>
          <w:rFonts w:hint="eastAsia" w:cs="宋体"/>
          <w:color w:val="auto"/>
          <w:sz w:val="28"/>
          <w:szCs w:val="21"/>
        </w:rPr>
      </w:pPr>
      <w:r>
        <w:rPr>
          <w:rFonts w:hint="eastAsia" w:cs="宋体"/>
          <w:color w:val="auto"/>
          <w:sz w:val="28"/>
          <w:szCs w:val="21"/>
          <w:lang w:val="en-US" w:eastAsia="zh-CN"/>
        </w:rPr>
        <w:t>4</w:t>
      </w:r>
      <w:r>
        <w:rPr>
          <w:rFonts w:hint="eastAsia" w:cs="宋体"/>
          <w:color w:val="auto"/>
          <w:sz w:val="28"/>
          <w:szCs w:val="21"/>
          <w:highlight w:val="none"/>
        </w:rPr>
        <w:t>）</w:t>
      </w:r>
      <w:r>
        <w:rPr>
          <w:rFonts w:hint="eastAsia" w:cs="宋体"/>
          <w:color w:val="auto"/>
          <w:sz w:val="28"/>
          <w:szCs w:val="21"/>
        </w:rPr>
        <w:t>《水利水电工程建设征地移民设计规范》（SL290—2009）；</w:t>
      </w:r>
    </w:p>
    <w:p>
      <w:pPr>
        <w:rPr>
          <w:rFonts w:hint="eastAsia" w:cs="宋体"/>
          <w:color w:val="auto"/>
          <w:sz w:val="28"/>
          <w:szCs w:val="21"/>
        </w:rPr>
      </w:pPr>
      <w:r>
        <w:rPr>
          <w:rFonts w:hint="eastAsia" w:cs="宋体"/>
          <w:color w:val="auto"/>
          <w:sz w:val="28"/>
          <w:szCs w:val="21"/>
          <w:lang w:val="en-US" w:eastAsia="zh-CN"/>
        </w:rPr>
        <w:t>5</w:t>
      </w:r>
      <w:r>
        <w:rPr>
          <w:rFonts w:hint="eastAsia" w:cs="宋体"/>
          <w:color w:val="auto"/>
          <w:sz w:val="28"/>
          <w:szCs w:val="21"/>
          <w:highlight w:val="none"/>
        </w:rPr>
        <w:t>）</w:t>
      </w:r>
      <w:r>
        <w:rPr>
          <w:rFonts w:hint="eastAsia" w:cs="宋体"/>
          <w:color w:val="auto"/>
          <w:sz w:val="28"/>
          <w:szCs w:val="21"/>
        </w:rPr>
        <w:t>《中华人民共和国耕地占用税暂行条例》（国务院令第511号）；</w:t>
      </w:r>
    </w:p>
    <w:p>
      <w:pPr>
        <w:rPr>
          <w:rFonts w:hint="eastAsia" w:cs="宋体"/>
          <w:color w:val="auto"/>
          <w:sz w:val="28"/>
          <w:szCs w:val="21"/>
        </w:rPr>
      </w:pPr>
      <w:r>
        <w:rPr>
          <w:rFonts w:hint="eastAsia" w:cs="宋体"/>
          <w:color w:val="auto"/>
          <w:sz w:val="28"/>
          <w:szCs w:val="21"/>
          <w:lang w:val="en-US" w:eastAsia="zh-CN"/>
        </w:rPr>
        <w:t>6</w:t>
      </w:r>
      <w:r>
        <w:rPr>
          <w:rFonts w:hint="eastAsia" w:cs="宋体"/>
          <w:color w:val="auto"/>
          <w:sz w:val="28"/>
          <w:szCs w:val="21"/>
          <w:highlight w:val="none"/>
        </w:rPr>
        <w:t>）</w:t>
      </w:r>
      <w:r>
        <w:rPr>
          <w:rFonts w:hint="eastAsia" w:cs="宋体"/>
          <w:color w:val="auto"/>
          <w:sz w:val="28"/>
          <w:szCs w:val="21"/>
        </w:rPr>
        <w:t>《水利水电工程建设征地移民实物调查规范》（SL442-2009）</w:t>
      </w:r>
    </w:p>
    <w:p>
      <w:pPr>
        <w:pStyle w:val="39"/>
        <w:numPr>
          <w:ilvl w:val="1"/>
          <w:numId w:val="9"/>
        </w:numPr>
        <w:rPr>
          <w:rFonts w:hint="eastAsia" w:cs="宋体"/>
          <w:color w:val="auto"/>
          <w:sz w:val="28"/>
          <w:szCs w:val="28"/>
        </w:rPr>
      </w:pPr>
      <w:bookmarkStart w:id="205" w:name="_Toc427"/>
      <w:bookmarkStart w:id="206" w:name="_Toc17182"/>
      <w:bookmarkStart w:id="207" w:name="_Toc12143"/>
      <w:bookmarkStart w:id="208" w:name="_Toc23750"/>
      <w:bookmarkStart w:id="209" w:name="_Toc12706"/>
      <w:bookmarkStart w:id="210" w:name="_Toc7049"/>
      <w:r>
        <w:rPr>
          <w:rFonts w:hint="eastAsia" w:cs="宋体"/>
          <w:color w:val="auto"/>
          <w:sz w:val="28"/>
          <w:szCs w:val="28"/>
        </w:rPr>
        <w:t>征地范围</w:t>
      </w:r>
      <w:bookmarkEnd w:id="205"/>
      <w:bookmarkEnd w:id="206"/>
      <w:bookmarkEnd w:id="207"/>
      <w:bookmarkEnd w:id="208"/>
      <w:bookmarkEnd w:id="209"/>
      <w:bookmarkEnd w:id="210"/>
    </w:p>
    <w:p>
      <w:pPr>
        <w:rPr>
          <w:rFonts w:hint="eastAsia" w:cs="宋体"/>
          <w:color w:val="auto"/>
          <w:sz w:val="28"/>
          <w:szCs w:val="21"/>
        </w:rPr>
      </w:pPr>
      <w:r>
        <w:rPr>
          <w:rFonts w:hint="eastAsia" w:cs="宋体"/>
          <w:color w:val="auto"/>
          <w:sz w:val="28"/>
          <w:szCs w:val="21"/>
        </w:rPr>
        <w:t>工程建设用地范围由永久征地范围和临时用地范围构成。永久征地一般包括永久建筑物的建筑区、对外交通用地和管理区；临时用地一般包括料场、渣场、作业场（含辅助企业）、临时道路、施工营地、其他临时设施用地及施工爆破影响区。</w:t>
      </w:r>
    </w:p>
    <w:p>
      <w:pPr>
        <w:rPr>
          <w:rFonts w:hint="eastAsia" w:cs="宋体"/>
          <w:color w:val="auto"/>
          <w:sz w:val="28"/>
          <w:szCs w:val="21"/>
        </w:rPr>
      </w:pPr>
      <w:r>
        <w:rPr>
          <w:rFonts w:hint="eastAsia" w:cs="宋体"/>
          <w:color w:val="auto"/>
          <w:sz w:val="28"/>
          <w:szCs w:val="21"/>
        </w:rPr>
        <w:t>（1）永久征地范围</w:t>
      </w:r>
    </w:p>
    <w:p>
      <w:pPr>
        <w:rPr>
          <w:rFonts w:hint="eastAsia" w:cs="宋体"/>
          <w:color w:val="auto"/>
          <w:sz w:val="28"/>
          <w:szCs w:val="21"/>
        </w:rPr>
      </w:pPr>
      <w:r>
        <w:rPr>
          <w:rFonts w:hint="eastAsia" w:cs="宋体"/>
          <w:color w:val="auto"/>
          <w:sz w:val="28"/>
          <w:szCs w:val="21"/>
        </w:rPr>
        <w:t>本工程主要</w:t>
      </w:r>
      <w:r>
        <w:rPr>
          <w:rFonts w:hint="eastAsia" w:cs="宋体"/>
          <w:color w:val="auto"/>
          <w:sz w:val="28"/>
          <w:szCs w:val="21"/>
          <w:lang w:eastAsia="zh-CN"/>
        </w:rPr>
        <w:t>涉及征地处为跨河倒虹井位置及部分管道涉及私人用地的情况</w:t>
      </w:r>
      <w:r>
        <w:rPr>
          <w:rFonts w:hint="eastAsia" w:cs="宋体"/>
          <w:color w:val="auto"/>
          <w:sz w:val="28"/>
          <w:szCs w:val="21"/>
        </w:rPr>
        <w:t>，</w:t>
      </w:r>
      <w:r>
        <w:rPr>
          <w:rFonts w:hint="eastAsia" w:cs="宋体"/>
          <w:color w:val="auto"/>
          <w:sz w:val="28"/>
          <w:szCs w:val="21"/>
          <w:lang w:eastAsia="zh-CN"/>
        </w:rPr>
        <w:t>根据实际情况</w:t>
      </w:r>
      <w:r>
        <w:rPr>
          <w:rFonts w:hint="eastAsia" w:cs="宋体"/>
          <w:color w:val="auto"/>
          <w:sz w:val="28"/>
          <w:szCs w:val="21"/>
        </w:rPr>
        <w:t>确定本工程的征地范围。</w:t>
      </w:r>
    </w:p>
    <w:p>
      <w:pPr>
        <w:rPr>
          <w:rFonts w:hint="eastAsia" w:cs="宋体"/>
          <w:color w:val="auto"/>
          <w:sz w:val="28"/>
          <w:szCs w:val="21"/>
        </w:rPr>
      </w:pPr>
      <w:r>
        <w:rPr>
          <w:rFonts w:hint="eastAsia" w:cs="宋体"/>
          <w:color w:val="auto"/>
          <w:sz w:val="28"/>
          <w:szCs w:val="21"/>
        </w:rPr>
        <w:t>（2）工程临时占地</w:t>
      </w:r>
    </w:p>
    <w:p>
      <w:pPr>
        <w:rPr>
          <w:rFonts w:hint="eastAsia" w:cs="宋体"/>
          <w:color w:val="auto"/>
          <w:sz w:val="28"/>
          <w:szCs w:val="21"/>
        </w:rPr>
      </w:pPr>
      <w:r>
        <w:rPr>
          <w:rFonts w:hint="eastAsia" w:cs="宋体"/>
          <w:color w:val="auto"/>
          <w:sz w:val="28"/>
          <w:szCs w:val="21"/>
        </w:rPr>
        <w:t>本工程临时用地主要为临时道路、施工工厂设施区、施工管理及生活营区、临时施工道路以及弃渣场等用地。</w:t>
      </w:r>
    </w:p>
    <w:p>
      <w:pPr>
        <w:rPr>
          <w:rFonts w:hint="eastAsia" w:cs="宋体"/>
          <w:color w:val="auto"/>
          <w:sz w:val="28"/>
          <w:szCs w:val="21"/>
        </w:rPr>
      </w:pPr>
      <w:r>
        <w:rPr>
          <w:rFonts w:hint="eastAsia" w:cs="宋体"/>
          <w:color w:val="auto"/>
          <w:sz w:val="28"/>
          <w:szCs w:val="21"/>
        </w:rPr>
        <w:t>本工程筑填土料采用清疏的粉质黏土料，弃土运至业主指定地点。</w:t>
      </w:r>
    </w:p>
    <w:p>
      <w:pPr>
        <w:pStyle w:val="39"/>
        <w:numPr>
          <w:ilvl w:val="1"/>
          <w:numId w:val="9"/>
        </w:numPr>
        <w:rPr>
          <w:rFonts w:hint="eastAsia" w:cs="宋体"/>
          <w:color w:val="auto"/>
          <w:sz w:val="28"/>
          <w:szCs w:val="28"/>
        </w:rPr>
      </w:pPr>
      <w:bookmarkStart w:id="211" w:name="_Toc32321"/>
      <w:bookmarkStart w:id="212" w:name="_Toc11481"/>
      <w:bookmarkStart w:id="213" w:name="_Toc28147"/>
      <w:bookmarkStart w:id="214" w:name="_Toc30435"/>
      <w:bookmarkStart w:id="215" w:name="_Toc27264"/>
      <w:bookmarkStart w:id="216" w:name="_Toc19041"/>
      <w:r>
        <w:rPr>
          <w:rFonts w:hint="eastAsia" w:cs="宋体"/>
          <w:color w:val="auto"/>
          <w:sz w:val="28"/>
          <w:szCs w:val="28"/>
        </w:rPr>
        <w:t>征地实物</w:t>
      </w:r>
      <w:bookmarkEnd w:id="211"/>
      <w:bookmarkEnd w:id="212"/>
      <w:bookmarkEnd w:id="213"/>
      <w:bookmarkEnd w:id="214"/>
      <w:bookmarkEnd w:id="215"/>
      <w:bookmarkEnd w:id="216"/>
    </w:p>
    <w:p>
      <w:pPr>
        <w:rPr>
          <w:rFonts w:hint="eastAsia" w:cs="宋体"/>
          <w:color w:val="auto"/>
          <w:sz w:val="28"/>
          <w:szCs w:val="21"/>
        </w:rPr>
      </w:pPr>
      <w:r>
        <w:rPr>
          <w:rFonts w:hint="eastAsia" w:cs="宋体"/>
          <w:color w:val="auto"/>
          <w:sz w:val="28"/>
          <w:szCs w:val="21"/>
        </w:rPr>
        <w:t>结合工程总体平面布置图，在实地踏勘的基础上，对工程用地范围内实物指标进行了实地调查，调查深度按可研设计阶段要求进行。</w:t>
      </w:r>
    </w:p>
    <w:p>
      <w:pPr>
        <w:rPr>
          <w:rFonts w:hint="eastAsia" w:cs="宋体"/>
          <w:color w:val="auto"/>
          <w:sz w:val="28"/>
          <w:szCs w:val="21"/>
        </w:rPr>
      </w:pPr>
      <w:r>
        <w:rPr>
          <w:rFonts w:hint="eastAsia" w:cs="宋体"/>
          <w:color w:val="auto"/>
          <w:sz w:val="28"/>
          <w:szCs w:val="21"/>
        </w:rPr>
        <w:t>本着尽量少占地、少拆迁为原则，工程总体布置尽可能紧凑，本次实物指标调查统计范围为永久占地和临时占地范围。</w:t>
      </w:r>
    </w:p>
    <w:p>
      <w:pPr>
        <w:rPr>
          <w:rFonts w:hint="eastAsia" w:cs="宋体"/>
          <w:color w:val="auto"/>
          <w:sz w:val="28"/>
          <w:szCs w:val="21"/>
        </w:rPr>
      </w:pPr>
      <w:r>
        <w:rPr>
          <w:rFonts w:hint="eastAsia" w:cs="宋体"/>
          <w:color w:val="auto"/>
          <w:sz w:val="28"/>
          <w:szCs w:val="21"/>
        </w:rPr>
        <w:t>所有实物指标均按工程用地性质分为永久、临时二大类，调查填表时予以区分，调查时对照工程总体平面布置图（比例1:1000）进行各项占地实物指标现场核对，土地面积经现场核实地类后用1:1000的地形图量算。</w:t>
      </w:r>
    </w:p>
    <w:p>
      <w:pPr>
        <w:pStyle w:val="40"/>
        <w:numPr>
          <w:ilvl w:val="2"/>
          <w:numId w:val="9"/>
        </w:numPr>
        <w:rPr>
          <w:rFonts w:hint="eastAsia" w:cs="宋体" w:asciiTheme="minorEastAsia" w:hAnsiTheme="minorEastAsia" w:eastAsiaTheme="minorEastAsia"/>
          <w:color w:val="auto"/>
          <w:sz w:val="28"/>
          <w:szCs w:val="28"/>
        </w:rPr>
      </w:pPr>
      <w:r>
        <w:rPr>
          <w:rFonts w:hint="eastAsia" w:cs="宋体" w:asciiTheme="minorEastAsia" w:hAnsiTheme="minorEastAsia" w:eastAsiaTheme="minorEastAsia"/>
          <w:color w:val="auto"/>
          <w:sz w:val="28"/>
          <w:szCs w:val="28"/>
        </w:rPr>
        <w:t>调查范围</w:t>
      </w:r>
    </w:p>
    <w:p>
      <w:pPr>
        <w:rPr>
          <w:rFonts w:hint="eastAsia" w:cs="宋体"/>
          <w:color w:val="auto"/>
          <w:sz w:val="28"/>
          <w:szCs w:val="21"/>
        </w:rPr>
      </w:pPr>
      <w:r>
        <w:rPr>
          <w:rFonts w:hint="eastAsia" w:cs="宋体"/>
          <w:color w:val="auto"/>
          <w:sz w:val="28"/>
          <w:szCs w:val="21"/>
        </w:rPr>
        <w:t>根据工程布置和施工布置，调查范围包括</w:t>
      </w:r>
      <w:r>
        <w:rPr>
          <w:rFonts w:hint="eastAsia" w:cs="宋体"/>
          <w:color w:val="auto"/>
          <w:sz w:val="28"/>
          <w:szCs w:val="21"/>
          <w:lang w:val="en-US" w:eastAsia="zh-CN"/>
        </w:rPr>
        <w:t>检查井设置用地</w:t>
      </w:r>
      <w:r>
        <w:rPr>
          <w:rFonts w:hint="eastAsia" w:cs="宋体"/>
          <w:color w:val="auto"/>
          <w:sz w:val="28"/>
          <w:szCs w:val="21"/>
        </w:rPr>
        <w:t>、施工临时用地等。</w:t>
      </w:r>
    </w:p>
    <w:p>
      <w:pPr>
        <w:pStyle w:val="40"/>
        <w:numPr>
          <w:ilvl w:val="2"/>
          <w:numId w:val="9"/>
        </w:numPr>
        <w:rPr>
          <w:rFonts w:hint="eastAsia" w:cs="宋体" w:asciiTheme="minorEastAsia" w:hAnsiTheme="minorEastAsia" w:eastAsiaTheme="minorEastAsia"/>
          <w:color w:val="auto"/>
          <w:sz w:val="28"/>
          <w:szCs w:val="28"/>
        </w:rPr>
      </w:pPr>
      <w:r>
        <w:rPr>
          <w:rFonts w:hint="eastAsia" w:cs="宋体" w:asciiTheme="minorEastAsia" w:hAnsiTheme="minorEastAsia" w:eastAsiaTheme="minorEastAsia"/>
          <w:color w:val="auto"/>
          <w:sz w:val="28"/>
          <w:szCs w:val="28"/>
        </w:rPr>
        <w:t>调查方法及内容</w:t>
      </w:r>
    </w:p>
    <w:p>
      <w:pPr>
        <w:rPr>
          <w:rFonts w:hint="eastAsia" w:cs="宋体"/>
          <w:color w:val="auto"/>
          <w:sz w:val="28"/>
          <w:szCs w:val="21"/>
        </w:rPr>
      </w:pPr>
      <w:r>
        <w:rPr>
          <w:rFonts w:hint="eastAsia" w:cs="宋体"/>
          <w:color w:val="auto"/>
          <w:sz w:val="28"/>
          <w:szCs w:val="21"/>
        </w:rPr>
        <w:t>本次设计按</w:t>
      </w:r>
      <w:r>
        <w:rPr>
          <w:rFonts w:hint="eastAsia" w:cs="宋体"/>
          <w:color w:val="auto"/>
          <w:sz w:val="28"/>
          <w:szCs w:val="21"/>
          <w:lang w:val="en-US" w:eastAsia="zh-CN"/>
        </w:rPr>
        <w:t>可行性研究报告</w:t>
      </w:r>
      <w:r>
        <w:rPr>
          <w:rFonts w:hint="eastAsia" w:cs="宋体"/>
          <w:color w:val="auto"/>
          <w:sz w:val="28"/>
          <w:szCs w:val="21"/>
        </w:rPr>
        <w:t>阶段要求的深度及方法进行实物指标调查。实物指标的调查主要分农村部分和专业项目设施部分，其中农村部分调查包括房屋及附属设施、农村集体土地、园地果木和林地林木及零星林木以等的调查。</w:t>
      </w:r>
    </w:p>
    <w:p>
      <w:pPr>
        <w:rPr>
          <w:rFonts w:hint="eastAsia" w:cs="宋体"/>
          <w:color w:val="auto"/>
          <w:sz w:val="28"/>
          <w:szCs w:val="21"/>
        </w:rPr>
      </w:pPr>
      <w:r>
        <w:rPr>
          <w:rFonts w:hint="eastAsia" w:cs="宋体"/>
          <w:color w:val="auto"/>
          <w:sz w:val="28"/>
          <w:szCs w:val="21"/>
        </w:rPr>
        <w:t>（1）房屋和附属设施</w:t>
      </w:r>
    </w:p>
    <w:p>
      <w:pPr>
        <w:rPr>
          <w:rFonts w:hint="eastAsia" w:cs="宋体"/>
          <w:color w:val="auto"/>
          <w:sz w:val="28"/>
          <w:szCs w:val="21"/>
        </w:rPr>
      </w:pPr>
      <w:r>
        <w:rPr>
          <w:rFonts w:hint="eastAsia" w:cs="宋体"/>
          <w:color w:val="auto"/>
          <w:sz w:val="28"/>
          <w:szCs w:val="21"/>
        </w:rPr>
        <w:t>房屋和附属设施分不同结构实地进行调查统计，并在1:1000地形地类图上量算校核，以校核成果为准。</w:t>
      </w:r>
    </w:p>
    <w:p>
      <w:pPr>
        <w:rPr>
          <w:rFonts w:hint="eastAsia" w:cs="宋体"/>
          <w:color w:val="auto"/>
          <w:sz w:val="28"/>
          <w:szCs w:val="21"/>
        </w:rPr>
      </w:pPr>
      <w:r>
        <w:rPr>
          <w:rFonts w:hint="eastAsia" w:cs="宋体"/>
          <w:color w:val="auto"/>
          <w:sz w:val="28"/>
          <w:szCs w:val="21"/>
        </w:rPr>
        <w:t>（2）农村集体土地</w:t>
      </w:r>
    </w:p>
    <w:p>
      <w:pPr>
        <w:rPr>
          <w:rFonts w:hint="eastAsia" w:cs="宋体"/>
          <w:color w:val="auto"/>
          <w:sz w:val="28"/>
          <w:szCs w:val="21"/>
        </w:rPr>
      </w:pPr>
      <w:r>
        <w:rPr>
          <w:rFonts w:hint="eastAsia" w:cs="宋体"/>
          <w:color w:val="auto"/>
          <w:sz w:val="28"/>
          <w:szCs w:val="21"/>
        </w:rPr>
        <w:t>土地分类按照《土地利用现状分类标准》（GB/T21010-2007）和《森林法》所规定的标准执行。土地利用现状的调查以测绘的1:1000比例尺地形地类图的计算机量图成果为基础，现场持图校核1:1000地形地类图图斑的地类及权属，并现场勾绘，最终成果采用校核的计算机量图成果统计汇总。</w:t>
      </w:r>
    </w:p>
    <w:p>
      <w:pPr>
        <w:rPr>
          <w:rFonts w:hint="eastAsia" w:cs="宋体"/>
          <w:color w:val="auto"/>
          <w:sz w:val="28"/>
          <w:szCs w:val="21"/>
        </w:rPr>
      </w:pPr>
      <w:r>
        <w:rPr>
          <w:rFonts w:hint="eastAsia" w:cs="宋体"/>
          <w:color w:val="auto"/>
          <w:sz w:val="28"/>
          <w:szCs w:val="21"/>
        </w:rPr>
        <w:t>（3）园地果木、林地林木及零星林木调查</w:t>
      </w:r>
    </w:p>
    <w:p>
      <w:pPr>
        <w:rPr>
          <w:rFonts w:hint="eastAsia" w:cs="宋体"/>
          <w:color w:val="auto"/>
          <w:sz w:val="28"/>
          <w:szCs w:val="21"/>
        </w:rPr>
      </w:pPr>
      <w:r>
        <w:rPr>
          <w:rFonts w:hint="eastAsia" w:cs="宋体"/>
          <w:color w:val="auto"/>
          <w:sz w:val="28"/>
          <w:szCs w:val="21"/>
        </w:rPr>
        <w:t>园地果木、林地林木及零星林木的调查是建立在土地利用现状调查的基础上；即确认为园地和林地的区域应与土地勘测定界和林地专项调查的成果一致。</w:t>
      </w:r>
    </w:p>
    <w:p>
      <w:pPr>
        <w:rPr>
          <w:rFonts w:hint="eastAsia" w:cs="宋体"/>
          <w:color w:val="auto"/>
          <w:sz w:val="28"/>
          <w:szCs w:val="21"/>
        </w:rPr>
      </w:pPr>
      <w:r>
        <w:rPr>
          <w:rFonts w:hint="eastAsia" w:cs="宋体"/>
          <w:color w:val="auto"/>
          <w:sz w:val="28"/>
          <w:szCs w:val="21"/>
        </w:rPr>
        <w:t>界定为园地的区域不再作为林地的调查范围，界定为园地和林地的区域均不再作为零星林木的调查范围。</w:t>
      </w:r>
    </w:p>
    <w:p>
      <w:pPr>
        <w:rPr>
          <w:rFonts w:hint="eastAsia" w:cs="宋体"/>
          <w:color w:val="auto"/>
          <w:sz w:val="28"/>
          <w:szCs w:val="21"/>
        </w:rPr>
      </w:pPr>
      <w:r>
        <w:rPr>
          <w:rFonts w:hint="eastAsia" w:cs="宋体"/>
          <w:color w:val="auto"/>
          <w:sz w:val="28"/>
          <w:szCs w:val="21"/>
        </w:rPr>
        <w:t>在土地利用现状调查成果的基础上，参考“零星林木”的分类和测量标准，按照成片面积0.3亩以上且郁闭度大于0.2的林木的标准，对园地果木进行分类调查。</w:t>
      </w:r>
    </w:p>
    <w:p>
      <w:pPr>
        <w:rPr>
          <w:rFonts w:hint="eastAsia" w:cs="宋体"/>
          <w:color w:val="auto"/>
          <w:sz w:val="28"/>
          <w:szCs w:val="21"/>
        </w:rPr>
      </w:pPr>
      <w:r>
        <w:rPr>
          <w:rFonts w:hint="eastAsia" w:cs="宋体"/>
          <w:color w:val="auto"/>
          <w:sz w:val="28"/>
          <w:szCs w:val="21"/>
        </w:rPr>
        <w:t>（4）专业项目设施</w:t>
      </w:r>
    </w:p>
    <w:p>
      <w:pPr>
        <w:rPr>
          <w:rFonts w:hint="eastAsia" w:cs="宋体"/>
          <w:color w:val="auto"/>
          <w:sz w:val="28"/>
          <w:szCs w:val="21"/>
        </w:rPr>
      </w:pPr>
      <w:r>
        <w:rPr>
          <w:rFonts w:hint="eastAsia" w:cs="宋体"/>
          <w:color w:val="auto"/>
          <w:sz w:val="28"/>
          <w:szCs w:val="21"/>
        </w:rPr>
        <w:t>对输电线路、通讯线路等专业项目设施实地进行调查统计，并在1:1000地形地类图上量算校核，以校核成果为准。</w:t>
      </w:r>
    </w:p>
    <w:p>
      <w:pPr>
        <w:pStyle w:val="40"/>
        <w:numPr>
          <w:ilvl w:val="2"/>
          <w:numId w:val="9"/>
        </w:numPr>
        <w:rPr>
          <w:rFonts w:hint="eastAsia" w:cs="宋体" w:asciiTheme="minorEastAsia" w:hAnsiTheme="minorEastAsia" w:eastAsiaTheme="minorEastAsia"/>
          <w:color w:val="auto"/>
          <w:sz w:val="28"/>
          <w:szCs w:val="28"/>
        </w:rPr>
      </w:pPr>
      <w:r>
        <w:rPr>
          <w:rFonts w:hint="eastAsia" w:cs="宋体" w:asciiTheme="minorEastAsia" w:hAnsiTheme="minorEastAsia" w:eastAsiaTheme="minorEastAsia"/>
          <w:color w:val="auto"/>
          <w:sz w:val="28"/>
          <w:szCs w:val="28"/>
        </w:rPr>
        <w:t>调查成果</w:t>
      </w:r>
    </w:p>
    <w:p>
      <w:pPr>
        <w:pStyle w:val="44"/>
        <w:keepNext w:val="0"/>
        <w:keepLines w:val="0"/>
        <w:pageBreakBefore w:val="0"/>
        <w:widowControl w:val="0"/>
        <w:numPr>
          <w:ilvl w:val="8"/>
          <w:numId w:val="0"/>
        </w:numPr>
        <w:kinsoku/>
        <w:wordWrap/>
        <w:overflowPunct/>
        <w:topLinePunct w:val="0"/>
        <w:autoSpaceDE/>
        <w:autoSpaceDN/>
        <w:bidi w:val="0"/>
        <w:adjustRightInd/>
        <w:snapToGrid/>
        <w:ind w:leftChars="0" w:firstLine="564" w:firstLineChars="200"/>
        <w:jc w:val="left"/>
        <w:textAlignment w:val="auto"/>
        <w:rPr>
          <w:rFonts w:cs="宋体" w:asciiTheme="minorEastAsia" w:hAnsiTheme="minorEastAsia" w:eastAsiaTheme="minorEastAsia"/>
          <w:color w:val="auto"/>
          <w:sz w:val="28"/>
          <w:szCs w:val="21"/>
        </w:rPr>
      </w:pPr>
      <w:bookmarkStart w:id="217" w:name="_Toc8378"/>
      <w:r>
        <w:rPr>
          <w:rFonts w:hint="eastAsia" w:cs="宋体"/>
          <w:color w:val="auto"/>
          <w:sz w:val="28"/>
          <w:szCs w:val="21"/>
        </w:rPr>
        <w:t>根据实地调查，本次工程永久征地</w:t>
      </w:r>
      <w:r>
        <w:rPr>
          <w:rFonts w:hint="eastAsia" w:cs="宋体"/>
          <w:color w:val="auto"/>
          <w:sz w:val="28"/>
          <w:szCs w:val="21"/>
          <w:lang w:eastAsia="zh-CN"/>
        </w:rPr>
        <w:t>为跨河管倒虹井建设处，征地面积约</w:t>
      </w:r>
      <w:r>
        <w:rPr>
          <w:rFonts w:hint="eastAsia" w:cs="宋体"/>
          <w:color w:val="auto"/>
          <w:sz w:val="28"/>
          <w:szCs w:val="21"/>
          <w:lang w:val="en-US" w:eastAsia="zh-CN"/>
        </w:rPr>
        <w:t>20m</w:t>
      </w:r>
      <w:r>
        <w:rPr>
          <w:rFonts w:hint="eastAsia" w:cs="宋体"/>
          <w:color w:val="auto"/>
          <w:sz w:val="28"/>
          <w:szCs w:val="21"/>
          <w:vertAlign w:val="superscript"/>
          <w:lang w:val="en-US" w:eastAsia="zh-CN"/>
        </w:rPr>
        <w:t>2</w:t>
      </w:r>
      <w:r>
        <w:rPr>
          <w:rFonts w:hint="eastAsia" w:cs="宋体"/>
          <w:color w:val="auto"/>
          <w:sz w:val="28"/>
          <w:szCs w:val="21"/>
        </w:rPr>
        <w:t>。</w:t>
      </w:r>
      <w:bookmarkEnd w:id="217"/>
    </w:p>
    <w:p>
      <w:pPr>
        <w:pStyle w:val="38"/>
        <w:numPr>
          <w:ilvl w:val="0"/>
          <w:numId w:val="9"/>
        </w:numPr>
        <w:rPr>
          <w:rFonts w:hint="eastAsia" w:cs="宋体"/>
          <w:color w:val="auto"/>
          <w:sz w:val="32"/>
          <w:szCs w:val="40"/>
          <w:lang w:val="en-US" w:eastAsia="zh-CN"/>
        </w:rPr>
      </w:pPr>
      <w:bookmarkStart w:id="218" w:name="_Toc12106"/>
      <w:bookmarkStart w:id="219" w:name="_Toc22014"/>
      <w:r>
        <w:rPr>
          <w:rFonts w:hint="eastAsia" w:cs="宋体"/>
          <w:color w:val="auto"/>
          <w:sz w:val="32"/>
          <w:szCs w:val="40"/>
          <w:lang w:val="en-US" w:eastAsia="zh-CN"/>
        </w:rPr>
        <w:t>防洪影响评价</w:t>
      </w:r>
      <w:bookmarkEnd w:id="218"/>
      <w:bookmarkEnd w:id="219"/>
    </w:p>
    <w:p>
      <w:pPr>
        <w:pStyle w:val="39"/>
        <w:numPr>
          <w:ilvl w:val="1"/>
          <w:numId w:val="36"/>
        </w:numPr>
        <w:rPr>
          <w:rFonts w:hint="eastAsia" w:ascii="宋体" w:hAnsi="宋体" w:eastAsia="宋体" w:cs="宋体"/>
          <w:color w:val="auto"/>
          <w:lang w:val="en-US" w:eastAsia="zh-CN"/>
        </w:rPr>
      </w:pPr>
      <w:bookmarkStart w:id="220" w:name="_Toc24745"/>
      <w:bookmarkStart w:id="221" w:name="_Toc5691"/>
      <w:bookmarkStart w:id="222" w:name="_Toc26384"/>
      <w:bookmarkStart w:id="223" w:name="_Toc3266"/>
      <w:r>
        <w:rPr>
          <w:rFonts w:hint="eastAsia" w:ascii="宋体" w:hAnsi="宋体" w:eastAsia="宋体" w:cs="宋体"/>
          <w:color w:val="auto"/>
          <w:lang w:val="en-US" w:eastAsia="zh-CN"/>
        </w:rPr>
        <w:t>有关法律、法规</w:t>
      </w:r>
      <w:bookmarkEnd w:id="220"/>
      <w:bookmarkEnd w:id="221"/>
      <w:bookmarkEnd w:id="222"/>
      <w:bookmarkEnd w:id="223"/>
      <w:r>
        <w:rPr>
          <w:rFonts w:hint="eastAsia" w:ascii="宋体" w:hAnsi="宋体" w:eastAsia="宋体" w:cs="宋体"/>
          <w:color w:val="auto"/>
          <w:lang w:val="en-US" w:eastAsia="zh-CN"/>
        </w:rPr>
        <w:t xml:space="preserve"> </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《中华人民共和国水法》（2016 年 7 月 2 日中华人民共和国第十二届全国人民代表大会常务委员会第二十一次会议公布，自公布之日起施行）； </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《中华人民共和国防洪法》（2016 年 7 月 2 日中华人民共和国第十二届全国人民代表大会常务委员会第二十一次会议公布，自公布之日起施行）； </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《中华人民共和国河道管理条例》（1988 年 6 月 3 日国务院第七次常务会议通过，1988 年 6 月 10 日发布施行，分别于 2011 年 1 月 8 日。</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《河道管理范围内建设项目管理有关规定》（国家计委、水利部，1992 年 4 月 3 日，2017 年 12 月 22 日水利部令第 49 号修改）； </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《广东省河道管理条例》（2019 年 11 月 29 日广东省第十三届人民代表大会常务委员会第十五次会议通过，2020 年 1 月 1 日起施行）； </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《中华人民共和国防汛条例》（1991 年 7 月 2 日中华人民共和国国务院令第 86 号发布，2005 年 7 月 25 日修改，2011 年 1 月 8 日修正）； </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《广东省水利工程管理条例》（广东省第九届人民代表大会常务委员会 1999 年 11 月 27 日通过，2000 年 1 月 2 日公布施行，于 2014 年 9 月 25 日修订）； </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《广东省实施《中华人民共和国水法》办法》（广东省人大常委会 1991.10.13 发布，1991 年 12 月 1 日起施行，于 2016 年 7 月 2 日修订）； </w:t>
      </w:r>
    </w:p>
    <w:p>
      <w:pPr>
        <w:pStyle w:val="39"/>
        <w:numPr>
          <w:ilvl w:val="1"/>
          <w:numId w:val="36"/>
        </w:numPr>
        <w:rPr>
          <w:rFonts w:hint="eastAsia" w:ascii="宋体" w:hAnsi="宋体" w:eastAsia="宋体" w:cs="宋体"/>
          <w:color w:val="auto"/>
          <w:lang w:val="en-US" w:eastAsia="zh-CN"/>
        </w:rPr>
      </w:pPr>
      <w:bookmarkStart w:id="224" w:name="_Toc20865"/>
      <w:bookmarkStart w:id="225" w:name="_Toc8391"/>
      <w:bookmarkStart w:id="226" w:name="_Toc5715"/>
      <w:bookmarkStart w:id="227" w:name="_Toc5849"/>
      <w:r>
        <w:rPr>
          <w:rFonts w:hint="eastAsia" w:ascii="宋体" w:hAnsi="宋体" w:eastAsia="宋体" w:cs="宋体"/>
          <w:color w:val="auto"/>
          <w:lang w:val="en-US" w:eastAsia="zh-CN"/>
        </w:rPr>
        <w:t>相关技术规范和技术标准</w:t>
      </w:r>
      <w:bookmarkEnd w:id="224"/>
      <w:bookmarkEnd w:id="225"/>
      <w:bookmarkEnd w:id="226"/>
      <w:r>
        <w:rPr>
          <w:rFonts w:hint="eastAsia" w:ascii="宋体" w:hAnsi="宋体" w:eastAsia="宋体" w:cs="宋体"/>
          <w:color w:val="auto"/>
          <w:lang w:val="en-US" w:eastAsia="zh-CN"/>
        </w:rPr>
        <w:t xml:space="preserve"> </w:t>
      </w:r>
    </w:p>
    <w:bookmarkEnd w:id="227"/>
    <w:p>
      <w:pPr>
        <w:keepNext w:val="0"/>
        <w:keepLines w:val="0"/>
        <w:pageBreakBefore w:val="0"/>
        <w:widowControl w:val="0"/>
        <w:numPr>
          <w:ilvl w:val="0"/>
          <w:numId w:val="38"/>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《河道管理范围内建设项目防洪评价报告编制导则》（SL/T808- 2021）； </w:t>
      </w:r>
    </w:p>
    <w:p>
      <w:pPr>
        <w:keepNext w:val="0"/>
        <w:keepLines w:val="0"/>
        <w:pageBreakBefore w:val="0"/>
        <w:widowControl w:val="0"/>
        <w:numPr>
          <w:ilvl w:val="0"/>
          <w:numId w:val="38"/>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《防洪标准》（GB50201-2014）； </w:t>
      </w:r>
    </w:p>
    <w:p>
      <w:pPr>
        <w:keepNext w:val="0"/>
        <w:keepLines w:val="0"/>
        <w:pageBreakBefore w:val="0"/>
        <w:widowControl w:val="0"/>
        <w:numPr>
          <w:ilvl w:val="0"/>
          <w:numId w:val="38"/>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《堤防工程设计规范》（GB50286-2013）； </w:t>
      </w:r>
    </w:p>
    <w:p>
      <w:pPr>
        <w:keepNext w:val="0"/>
        <w:keepLines w:val="0"/>
        <w:pageBreakBefore w:val="0"/>
        <w:widowControl w:val="0"/>
        <w:numPr>
          <w:ilvl w:val="0"/>
          <w:numId w:val="38"/>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《治涝标准》（SL723-2016）； </w:t>
      </w:r>
    </w:p>
    <w:p>
      <w:pPr>
        <w:keepNext w:val="0"/>
        <w:keepLines w:val="0"/>
        <w:pageBreakBefore w:val="0"/>
        <w:widowControl w:val="0"/>
        <w:numPr>
          <w:ilvl w:val="0"/>
          <w:numId w:val="38"/>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《水利工程水利计算规范》（SL104-2015）； </w:t>
      </w:r>
    </w:p>
    <w:p>
      <w:pPr>
        <w:keepNext w:val="0"/>
        <w:keepLines w:val="0"/>
        <w:pageBreakBefore w:val="0"/>
        <w:widowControl w:val="0"/>
        <w:numPr>
          <w:ilvl w:val="0"/>
          <w:numId w:val="38"/>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《水利水电工程设计洪水计算规范》（SL44-2006）； </w:t>
      </w:r>
    </w:p>
    <w:p>
      <w:pPr>
        <w:keepNext w:val="0"/>
        <w:keepLines w:val="0"/>
        <w:pageBreakBefore w:val="0"/>
        <w:widowControl w:val="0"/>
        <w:numPr>
          <w:ilvl w:val="0"/>
          <w:numId w:val="38"/>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《水利水电工程水文计算规范》（SL278-2002）； </w:t>
      </w:r>
    </w:p>
    <w:p>
      <w:pPr>
        <w:keepNext w:val="0"/>
        <w:keepLines w:val="0"/>
        <w:pageBreakBefore w:val="0"/>
        <w:widowControl w:val="0"/>
        <w:numPr>
          <w:ilvl w:val="0"/>
          <w:numId w:val="38"/>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《水工挡土墙设计规范》（SL379-2007）； </w:t>
      </w:r>
    </w:p>
    <w:p>
      <w:pPr>
        <w:keepNext w:val="0"/>
        <w:keepLines w:val="0"/>
        <w:pageBreakBefore w:val="0"/>
        <w:widowControl w:val="0"/>
        <w:numPr>
          <w:ilvl w:val="0"/>
          <w:numId w:val="38"/>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《河道整治设计规范》（GB50707-2011）； </w:t>
      </w:r>
    </w:p>
    <w:p>
      <w:pPr>
        <w:keepNext w:val="0"/>
        <w:keepLines w:val="0"/>
        <w:pageBreakBefore w:val="0"/>
        <w:widowControl w:val="0"/>
        <w:numPr>
          <w:ilvl w:val="0"/>
          <w:numId w:val="38"/>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《内河通航标准》（GB50139-2014）； </w:t>
      </w:r>
    </w:p>
    <w:p>
      <w:pPr>
        <w:keepNext w:val="0"/>
        <w:keepLines w:val="0"/>
        <w:pageBreakBefore w:val="0"/>
        <w:widowControl w:val="0"/>
        <w:numPr>
          <w:ilvl w:val="0"/>
          <w:numId w:val="38"/>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《水文调查规范》（SL196-2015）； </w:t>
      </w:r>
    </w:p>
    <w:p>
      <w:pPr>
        <w:keepNext w:val="0"/>
        <w:keepLines w:val="0"/>
        <w:pageBreakBefore w:val="0"/>
        <w:widowControl w:val="0"/>
        <w:numPr>
          <w:ilvl w:val="0"/>
          <w:numId w:val="38"/>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《水文普通测量规范》（SL58-2014）； </w:t>
      </w:r>
    </w:p>
    <w:p>
      <w:pPr>
        <w:keepNext w:val="0"/>
        <w:keepLines w:val="0"/>
        <w:pageBreakBefore w:val="0"/>
        <w:widowControl w:val="0"/>
        <w:numPr>
          <w:ilvl w:val="0"/>
          <w:numId w:val="38"/>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广州市地方标准《涉河建设项目河道管理技术规范》（DB4401/T 19-2019）； </w:t>
      </w:r>
    </w:p>
    <w:p>
      <w:pPr>
        <w:keepNext w:val="0"/>
        <w:keepLines w:val="0"/>
        <w:pageBreakBefore w:val="0"/>
        <w:widowControl w:val="0"/>
        <w:numPr>
          <w:ilvl w:val="0"/>
          <w:numId w:val="38"/>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广东省地方标准《河道管理范围内建设项目技术规程》（DB44 /T1661-2021）； </w:t>
      </w:r>
    </w:p>
    <w:p>
      <w:pPr>
        <w:keepNext w:val="0"/>
        <w:keepLines w:val="0"/>
        <w:pageBreakBefore w:val="0"/>
        <w:widowControl w:val="0"/>
        <w:numPr>
          <w:ilvl w:val="0"/>
          <w:numId w:val="38"/>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eastAsia="zh-CN"/>
        </w:rPr>
      </w:pPr>
      <w:r>
        <w:rPr>
          <w:rFonts w:hint="eastAsia" w:ascii="宋体" w:hAnsi="宋体" w:eastAsia="宋体" w:cs="宋体"/>
          <w:color w:val="auto"/>
          <w:lang w:eastAsia="zh-CN"/>
        </w:rPr>
        <w:t xml:space="preserve">其他相关技术标准等。 </w:t>
      </w:r>
    </w:p>
    <w:p>
      <w:pPr>
        <w:pStyle w:val="39"/>
        <w:numPr>
          <w:ilvl w:val="1"/>
          <w:numId w:val="36"/>
        </w:numPr>
        <w:rPr>
          <w:rFonts w:hint="eastAsia" w:ascii="宋体" w:hAnsi="宋体" w:eastAsia="宋体" w:cs="宋体"/>
          <w:color w:val="auto"/>
          <w:lang w:val="en-US" w:eastAsia="zh-CN"/>
        </w:rPr>
      </w:pPr>
      <w:bookmarkStart w:id="228" w:name="_Toc27188"/>
      <w:bookmarkStart w:id="229" w:name="_Toc6597"/>
      <w:r>
        <w:rPr>
          <w:rFonts w:hint="eastAsia" w:ascii="宋体" w:hAnsi="宋体" w:eastAsia="宋体" w:cs="宋体"/>
          <w:color w:val="auto"/>
          <w:lang w:val="en-US" w:eastAsia="zh-CN"/>
        </w:rPr>
        <w:t>项目涉及防洪影响范围</w:t>
      </w:r>
      <w:bookmarkEnd w:id="228"/>
      <w:bookmarkEnd w:id="229"/>
      <w:r>
        <w:rPr>
          <w:rFonts w:hint="eastAsia" w:ascii="宋体" w:hAnsi="宋体" w:eastAsia="宋体" w:cs="宋体"/>
          <w:color w:val="auto"/>
          <w:lang w:val="en-US" w:eastAsia="zh-CN"/>
        </w:rPr>
        <w:t xml:space="preserve"> </w:t>
      </w:r>
    </w:p>
    <w:p>
      <w:pPr>
        <w:rPr>
          <w:rFonts w:hint="eastAsia" w:eastAsia="宋体"/>
          <w:color w:val="auto"/>
          <w:lang w:val="en-US" w:eastAsia="zh-CN"/>
        </w:rPr>
      </w:pPr>
      <w:r>
        <w:rPr>
          <w:rFonts w:hint="eastAsia" w:eastAsia="宋体"/>
          <w:color w:val="auto"/>
          <w:lang w:val="en-US" w:eastAsia="zh-CN"/>
        </w:rPr>
        <w:t>本项目设计防洪主要为污水管道跨越凤凰水支流处，跨河节点在小海河流域及凤凰水支流位置示意如下图。</w:t>
      </w:r>
    </w:p>
    <w:p>
      <w:pPr>
        <w:ind w:left="0" w:leftChars="0" w:firstLine="0" w:firstLineChars="0"/>
        <w:rPr>
          <w:color w:val="auto"/>
        </w:rPr>
      </w:pPr>
      <w:r>
        <w:rPr>
          <w:color w:val="auto"/>
          <w:sz w:val="28"/>
        </w:rPr>
        <mc:AlternateContent>
          <mc:Choice Requires="wps">
            <w:drawing>
              <wp:anchor distT="0" distB="0" distL="114300" distR="114300" simplePos="0" relativeHeight="251677696" behindDoc="0" locked="0" layoutInCell="1" allowOverlap="1">
                <wp:simplePos x="0" y="0"/>
                <wp:positionH relativeFrom="column">
                  <wp:posOffset>2416810</wp:posOffset>
                </wp:positionH>
                <wp:positionV relativeFrom="paragraph">
                  <wp:posOffset>3441700</wp:posOffset>
                </wp:positionV>
                <wp:extent cx="1313180" cy="611505"/>
                <wp:effectExtent l="1109980" t="4445" r="15240" b="12700"/>
                <wp:wrapNone/>
                <wp:docPr id="17" name="圆角矩形标注 17"/>
                <wp:cNvGraphicFramePr/>
                <a:graphic xmlns:a="http://schemas.openxmlformats.org/drawingml/2006/main">
                  <a:graphicData uri="http://schemas.microsoft.com/office/word/2010/wordprocessingShape">
                    <wps:wsp>
                      <wps:cNvSpPr/>
                      <wps:spPr>
                        <a:xfrm>
                          <a:off x="0" y="0"/>
                          <a:ext cx="1313180" cy="611505"/>
                        </a:xfrm>
                        <a:prstGeom prst="wedgeRoundRectCallout">
                          <a:avLst>
                            <a:gd name="adj1" fmla="val -134187"/>
                            <a:gd name="adj2" fmla="val -49688"/>
                            <a:gd name="adj3" fmla="val 16667"/>
                          </a:avLst>
                        </a:prstGeom>
                        <a:solidFill>
                          <a:schemeClr val="bg2"/>
                        </a:solidFill>
                        <a:ln w="63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eastAsia="宋体"/>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本项目跨凤凰水支流节点</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190.3pt;margin-top:271pt;height:48.15pt;width:103.4pt;z-index:251677696;v-text-anchor:middle;mso-width-relative:page;mso-height-relative:page;" fillcolor="#EEECE1 [3214]" filled="t" stroked="t" coordsize="21600,21600" o:gfxdata="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IGWD57aAAAACwEA&#10;AA8AAAAAAAAAAQAgAAAAIgAAAGRycy9kb3ducmV2LnhtbFBLAQIUABQAAAAIAIdO4kCoMmPJwwIA&#10;AH4FAAAOAAAAAAAAAAEAIAAAACkBAABkcnMvZTJvRG9jLnhtbFBLBQYAAAAABgAGAFkBAABeBgAA&#10;AAA=&#10;" adj="-18184,67,14400">
                <v:fill on="t" focussize="0,0"/>
                <v:stroke weight="0.5pt" color="#FF0000 [3204]"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eastAsia="宋体"/>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本项目跨凤凰水支流节点</w:t>
                      </w:r>
                    </w:p>
                  </w:txbxContent>
                </v:textbox>
              </v:shape>
            </w:pict>
          </mc:Fallback>
        </mc:AlternateContent>
      </w:r>
      <w:r>
        <w:rPr>
          <w:color w:val="auto"/>
        </w:rPr>
        <w:drawing>
          <wp:inline distT="0" distB="0" distL="114300" distR="114300">
            <wp:extent cx="5720715" cy="4531360"/>
            <wp:effectExtent l="0" t="0" r="13335"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1"/>
                    <a:stretch>
                      <a:fillRect/>
                    </a:stretch>
                  </pic:blipFill>
                  <pic:spPr>
                    <a:xfrm>
                      <a:off x="0" y="0"/>
                      <a:ext cx="5720715" cy="4531360"/>
                    </a:xfrm>
                    <a:prstGeom prst="rect">
                      <a:avLst/>
                    </a:prstGeom>
                    <a:noFill/>
                    <a:ln>
                      <a:noFill/>
                    </a:ln>
                  </pic:spPr>
                </pic:pic>
              </a:graphicData>
            </a:graphic>
          </wp:inline>
        </w:drawing>
      </w:r>
    </w:p>
    <w:p>
      <w:pPr>
        <w:pStyle w:val="44"/>
        <w:numPr>
          <w:ilvl w:val="8"/>
          <w:numId w:val="39"/>
        </w:numPr>
        <w:rPr>
          <w:rFonts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eastAsia="zh-CN"/>
        </w:rPr>
        <w:t>本项目位于小海河流域位置示意图</w:t>
      </w:r>
    </w:p>
    <w:p>
      <w:pPr>
        <w:ind w:left="0" w:leftChars="0" w:firstLine="0" w:firstLineChars="0"/>
      </w:pPr>
      <w:r>
        <w:rPr>
          <w:color w:val="auto"/>
          <w:sz w:val="28"/>
        </w:rPr>
        <mc:AlternateContent>
          <mc:Choice Requires="wps">
            <w:drawing>
              <wp:anchor distT="0" distB="0" distL="114300" distR="114300" simplePos="0" relativeHeight="251678720" behindDoc="0" locked="0" layoutInCell="1" allowOverlap="1">
                <wp:simplePos x="0" y="0"/>
                <wp:positionH relativeFrom="column">
                  <wp:posOffset>3485515</wp:posOffset>
                </wp:positionH>
                <wp:positionV relativeFrom="paragraph">
                  <wp:posOffset>2334260</wp:posOffset>
                </wp:positionV>
                <wp:extent cx="1313180" cy="611505"/>
                <wp:effectExtent l="1109980" t="4445" r="15240" b="12700"/>
                <wp:wrapNone/>
                <wp:docPr id="20" name="圆角矩形标注 20"/>
                <wp:cNvGraphicFramePr/>
                <a:graphic xmlns:a="http://schemas.openxmlformats.org/drawingml/2006/main">
                  <a:graphicData uri="http://schemas.microsoft.com/office/word/2010/wordprocessingShape">
                    <wps:wsp>
                      <wps:cNvSpPr/>
                      <wps:spPr>
                        <a:xfrm>
                          <a:off x="0" y="0"/>
                          <a:ext cx="1313180" cy="611505"/>
                        </a:xfrm>
                        <a:prstGeom prst="wedgeRoundRectCallout">
                          <a:avLst>
                            <a:gd name="adj1" fmla="val -134187"/>
                            <a:gd name="adj2" fmla="val -49688"/>
                            <a:gd name="adj3" fmla="val 16667"/>
                          </a:avLst>
                        </a:prstGeom>
                        <a:solidFill>
                          <a:schemeClr val="bg2"/>
                        </a:solidFill>
                        <a:ln w="63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eastAsia="宋体"/>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本项目跨凤凰水支流节点</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74.45pt;margin-top:183.8pt;height:48.15pt;width:103.4pt;z-index:251678720;v-text-anchor:middle;mso-width-relative:page;mso-height-relative:page;" fillcolor="#EEECE1 [3214]" filled="t" stroked="t" coordsize="21600,21600" o:gfxdata="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" adj="-18184,67,14400">
                <v:fill on="t" focussize="0,0"/>
                <v:stroke weight="0.5pt" color="#FF0000 [3204]"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eastAsia="宋体"/>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1"/>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本项目跨凤凰水支流节点</w:t>
                      </w:r>
                    </w:p>
                  </w:txbxContent>
                </v:textbox>
              </v:shape>
            </w:pict>
          </mc:Fallback>
        </mc:AlternateContent>
      </w:r>
      <w:r>
        <w:drawing>
          <wp:inline distT="0" distB="0" distL="114300" distR="114300">
            <wp:extent cx="5821680" cy="4941570"/>
            <wp:effectExtent l="0" t="0" r="7620" b="1143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94"/>
                    <a:stretch>
                      <a:fillRect/>
                    </a:stretch>
                  </pic:blipFill>
                  <pic:spPr>
                    <a:xfrm>
                      <a:off x="0" y="0"/>
                      <a:ext cx="5821680" cy="4941570"/>
                    </a:xfrm>
                    <a:prstGeom prst="rect">
                      <a:avLst/>
                    </a:prstGeom>
                    <a:noFill/>
                    <a:ln>
                      <a:noFill/>
                    </a:ln>
                  </pic:spPr>
                </pic:pic>
              </a:graphicData>
            </a:graphic>
          </wp:inline>
        </w:drawing>
      </w:r>
    </w:p>
    <w:p>
      <w:pPr>
        <w:pStyle w:val="44"/>
        <w:numPr>
          <w:ilvl w:val="8"/>
          <w:numId w:val="39"/>
        </w:numPr>
        <w:rPr>
          <w:rFonts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eastAsia="zh-CN"/>
        </w:rPr>
        <w:t>凤凰水支流及跨河节点位置示意图</w:t>
      </w:r>
    </w:p>
    <w:p>
      <w:pPr>
        <w:pStyle w:val="39"/>
        <w:numPr>
          <w:ilvl w:val="1"/>
          <w:numId w:val="36"/>
        </w:numPr>
        <w:rPr>
          <w:rFonts w:hint="eastAsia" w:ascii="宋体" w:hAnsi="宋体" w:eastAsia="宋体" w:cs="宋体"/>
          <w:color w:val="auto"/>
          <w:lang w:val="en-US" w:eastAsia="zh-CN"/>
        </w:rPr>
      </w:pPr>
      <w:bookmarkStart w:id="230" w:name="_Toc7472"/>
      <w:bookmarkStart w:id="231" w:name="_Toc14356"/>
      <w:bookmarkStart w:id="232" w:name="_Toc16955"/>
      <w:bookmarkStart w:id="233" w:name="_Toc29135"/>
      <w:r>
        <w:rPr>
          <w:rFonts w:hint="eastAsia" w:ascii="宋体" w:hAnsi="宋体" w:eastAsia="宋体" w:cs="宋体"/>
          <w:color w:val="auto"/>
          <w:lang w:val="en-US" w:eastAsia="zh-CN"/>
        </w:rPr>
        <w:t>技术路线及研究内容</w:t>
      </w:r>
      <w:bookmarkEnd w:id="230"/>
      <w:bookmarkEnd w:id="231"/>
      <w:bookmarkEnd w:id="232"/>
      <w:bookmarkEnd w:id="233"/>
      <w:r>
        <w:rPr>
          <w:rFonts w:hint="eastAsia" w:ascii="宋体" w:hAnsi="宋体" w:eastAsia="宋体" w:cs="宋体"/>
          <w:color w:val="auto"/>
          <w:lang w:val="en-US" w:eastAsia="zh-CN"/>
        </w:rPr>
        <w:t xml:space="preserve"> </w:t>
      </w:r>
    </w:p>
    <w:p>
      <w:pPr>
        <w:rPr>
          <w:rFonts w:hint="default"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eastAsia="zh-CN"/>
        </w:rPr>
        <w:t>本项目设计采用倒虹双管跨河，设计采用双管跨河，设计管径为</w:t>
      </w:r>
      <w:r>
        <w:rPr>
          <w:rFonts w:hint="eastAsia" w:cs="宋体" w:asciiTheme="minorEastAsia" w:hAnsiTheme="minorEastAsia" w:eastAsiaTheme="minorEastAsia"/>
          <w:color w:val="auto"/>
          <w:sz w:val="28"/>
          <w:szCs w:val="21"/>
          <w:lang w:val="en-US" w:eastAsia="zh-CN"/>
        </w:rPr>
        <w:t>D426x9，设计采用围堰明挖施工，于枯水期进行施工，根据《涉河建设项目河道管理技术规范》（DB4401T 19-2019）中6.2.5 表1开挖法穿越管段的最小埋深要求，本次工程属DN1000以下管道的小型工程，管道距离河道冲刷线需在1米以上，本次设计管顶标高与河道冲刷线标高距离控制在1.5米，可满足防洪要求。</w:t>
      </w:r>
    </w:p>
    <w:p>
      <w:pPr>
        <w:pStyle w:val="30"/>
        <w:ind w:left="0" w:leftChars="0" w:firstLine="0" w:firstLineChars="0"/>
        <w:rPr>
          <w:rFonts w:hint="default"/>
          <w:lang w:val="en-US"/>
        </w:rPr>
      </w:pPr>
      <w:r>
        <w:rPr>
          <w:rFonts w:hint="default"/>
          <w:lang w:val="en-US"/>
        </w:rPr>
        <w:drawing>
          <wp:inline distT="0" distB="0" distL="114300" distR="114300">
            <wp:extent cx="5825490" cy="3136900"/>
            <wp:effectExtent l="0" t="0" r="3810" b="6350"/>
            <wp:docPr id="21" name="图片 21" descr="64bfef349b8b64f430773a5f8681f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64bfef349b8b64f430773a5f8681f95"/>
                    <pic:cNvPicPr>
                      <a:picLocks noChangeAspect="1"/>
                    </pic:cNvPicPr>
                  </pic:nvPicPr>
                  <pic:blipFill>
                    <a:blip r:embed="rId95"/>
                    <a:stretch>
                      <a:fillRect/>
                    </a:stretch>
                  </pic:blipFill>
                  <pic:spPr>
                    <a:xfrm>
                      <a:off x="0" y="0"/>
                      <a:ext cx="5825490" cy="3136900"/>
                    </a:xfrm>
                    <a:prstGeom prst="rect">
                      <a:avLst/>
                    </a:prstGeom>
                  </pic:spPr>
                </pic:pic>
              </a:graphicData>
            </a:graphic>
          </wp:inline>
        </w:drawing>
      </w:r>
    </w:p>
    <w:p>
      <w:pPr>
        <w:pStyle w:val="44"/>
        <w:numPr>
          <w:ilvl w:val="8"/>
          <w:numId w:val="39"/>
        </w:numPr>
        <w:rPr>
          <w:rFonts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val="en-US" w:eastAsia="zh-CN"/>
        </w:rPr>
        <w:t>《涉河建设项目河道管理技术规范》中6.2.5 表1</w:t>
      </w:r>
    </w:p>
    <w:p>
      <w:pPr>
        <w:pStyle w:val="30"/>
        <w:ind w:left="0" w:leftChars="0" w:firstLine="0" w:firstLineChars="0"/>
        <w:rPr>
          <w:rFonts w:hint="eastAsia" w:eastAsia="宋体"/>
          <w:color w:val="auto"/>
          <w:lang w:eastAsia="zh-CN"/>
        </w:rPr>
      </w:pPr>
      <w:r>
        <w:drawing>
          <wp:inline distT="0" distB="0" distL="114300" distR="114300">
            <wp:extent cx="5826760" cy="3959225"/>
            <wp:effectExtent l="0" t="0" r="2540" b="317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96"/>
                    <a:stretch>
                      <a:fillRect/>
                    </a:stretch>
                  </pic:blipFill>
                  <pic:spPr>
                    <a:xfrm>
                      <a:off x="0" y="0"/>
                      <a:ext cx="5826760" cy="3959225"/>
                    </a:xfrm>
                    <a:prstGeom prst="rect">
                      <a:avLst/>
                    </a:prstGeom>
                    <a:noFill/>
                    <a:ln>
                      <a:noFill/>
                    </a:ln>
                  </pic:spPr>
                </pic:pic>
              </a:graphicData>
            </a:graphic>
          </wp:inline>
        </w:drawing>
      </w:r>
    </w:p>
    <w:p>
      <w:pPr>
        <w:pStyle w:val="44"/>
        <w:numPr>
          <w:ilvl w:val="8"/>
          <w:numId w:val="39"/>
        </w:numPr>
        <w:rPr>
          <w:rFonts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val="en-US" w:eastAsia="zh-CN"/>
        </w:rPr>
        <w:t>管道跨河节点标高控制图</w:t>
      </w:r>
    </w:p>
    <w:p>
      <w:pPr>
        <w:pStyle w:val="30"/>
        <w:ind w:left="0" w:leftChars="0" w:firstLine="0" w:firstLineChars="0"/>
        <w:rPr>
          <w:rFonts w:hint="eastAsia" w:eastAsia="宋体"/>
          <w:color w:val="auto"/>
          <w:lang w:eastAsia="zh-CN"/>
        </w:rPr>
      </w:pPr>
    </w:p>
    <w:p>
      <w:pPr>
        <w:pStyle w:val="30"/>
        <w:ind w:left="0" w:leftChars="0" w:firstLine="0" w:firstLineChars="0"/>
        <w:rPr>
          <w:rFonts w:hint="eastAsia" w:eastAsia="宋体"/>
          <w:color w:val="auto"/>
          <w:lang w:eastAsia="zh-CN"/>
        </w:rPr>
      </w:pPr>
      <w:r>
        <w:rPr>
          <w:rFonts w:hint="eastAsia" w:eastAsia="宋体"/>
          <w:color w:val="auto"/>
          <w:lang w:eastAsia="zh-CN"/>
        </w:rPr>
        <w:drawing>
          <wp:inline distT="0" distB="0" distL="114300" distR="114300">
            <wp:extent cx="5607685" cy="2804160"/>
            <wp:effectExtent l="0" t="0" r="12065" b="15240"/>
            <wp:docPr id="24" name="图片 3" descr="a18287c5098290913108df9cf5d7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descr="a18287c5098290913108df9cf5d7535"/>
                    <pic:cNvPicPr>
                      <a:picLocks noChangeAspect="1"/>
                    </pic:cNvPicPr>
                  </pic:nvPicPr>
                  <pic:blipFill>
                    <a:blip r:embed="rId97"/>
                    <a:stretch>
                      <a:fillRect/>
                    </a:stretch>
                  </pic:blipFill>
                  <pic:spPr>
                    <a:xfrm>
                      <a:off x="0" y="0"/>
                      <a:ext cx="5607685" cy="2804160"/>
                    </a:xfrm>
                    <a:prstGeom prst="rect">
                      <a:avLst/>
                    </a:prstGeom>
                    <a:noFill/>
                    <a:ln>
                      <a:noFill/>
                    </a:ln>
                  </pic:spPr>
                </pic:pic>
              </a:graphicData>
            </a:graphic>
          </wp:inline>
        </w:drawing>
      </w:r>
    </w:p>
    <w:p>
      <w:pPr>
        <w:pStyle w:val="44"/>
        <w:numPr>
          <w:ilvl w:val="8"/>
          <w:numId w:val="39"/>
        </w:numPr>
        <w:rPr>
          <w:rFonts w:cs="宋体" w:asciiTheme="minorEastAsia" w:hAnsiTheme="minorEastAsia" w:eastAsiaTheme="minorEastAsia"/>
          <w:color w:val="auto"/>
          <w:sz w:val="28"/>
          <w:szCs w:val="21"/>
        </w:rPr>
      </w:pPr>
      <w:r>
        <w:rPr>
          <w:rFonts w:hint="eastAsia" w:cs="宋体" w:asciiTheme="minorEastAsia" w:hAnsiTheme="minorEastAsia" w:eastAsiaTheme="minorEastAsia"/>
          <w:color w:val="auto"/>
          <w:sz w:val="28"/>
          <w:szCs w:val="21"/>
          <w:lang w:val="en-US" w:eastAsia="zh-CN"/>
        </w:rPr>
        <w:t>管道跨河节点做法大样图</w:t>
      </w:r>
    </w:p>
    <w:p>
      <w:pPr>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eastAsia="zh-CN"/>
        </w:rPr>
        <w:t>以上方案需后期根据相关部门评审通过后方可实施或调整。</w:t>
      </w:r>
    </w:p>
    <w:p>
      <w:pPr>
        <w:pStyle w:val="39"/>
        <w:numPr>
          <w:ilvl w:val="1"/>
          <w:numId w:val="36"/>
        </w:numPr>
        <w:rPr>
          <w:rFonts w:hint="eastAsia" w:ascii="宋体" w:hAnsi="宋体" w:eastAsia="宋体" w:cs="宋体"/>
          <w:color w:val="auto"/>
          <w:lang w:val="en-US" w:eastAsia="zh-CN"/>
        </w:rPr>
      </w:pPr>
      <w:bookmarkStart w:id="234" w:name="_Toc14122"/>
      <w:bookmarkStart w:id="235" w:name="_Toc31658"/>
      <w:bookmarkStart w:id="236" w:name="_Toc4994"/>
      <w:bookmarkStart w:id="237" w:name="_Toc27955"/>
      <w:r>
        <w:rPr>
          <w:rFonts w:hint="eastAsia" w:ascii="宋体" w:hAnsi="宋体" w:eastAsia="宋体" w:cs="宋体"/>
          <w:color w:val="auto"/>
          <w:lang w:val="en-US" w:eastAsia="zh-CN"/>
        </w:rPr>
        <w:t>工程建议</w:t>
      </w:r>
      <w:bookmarkEnd w:id="234"/>
      <w:bookmarkEnd w:id="235"/>
      <w:bookmarkEnd w:id="236"/>
      <w:r>
        <w:rPr>
          <w:rFonts w:hint="eastAsia" w:ascii="宋体" w:hAnsi="宋体" w:eastAsia="宋体" w:cs="宋体"/>
          <w:color w:val="auto"/>
          <w:lang w:val="en-US" w:eastAsia="zh-CN"/>
        </w:rPr>
        <w:t xml:space="preserve"> </w:t>
      </w:r>
    </w:p>
    <w:bookmarkEnd w:id="237"/>
    <w:p>
      <w:pPr>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eastAsia="zh-CN"/>
        </w:rPr>
        <w:t xml:space="preserve">（1）建设前应与相关单位进行协商征得同意方可施工，且在施工过程中应做好防范措施。 </w:t>
      </w:r>
    </w:p>
    <w:p>
      <w:pPr>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eastAsia="zh-CN"/>
        </w:rPr>
        <w:t>（2）本项目现状河道桥梁有桥台桥墩占用部分河岸断面，破坏的河岸岸坡需按要求间距桥墩保持</w:t>
      </w:r>
      <w:r>
        <w:rPr>
          <w:rFonts w:hint="eastAsia" w:cs="宋体" w:asciiTheme="minorEastAsia" w:hAnsiTheme="minorEastAsia" w:eastAsiaTheme="minorEastAsia"/>
          <w:color w:val="auto"/>
          <w:sz w:val="28"/>
          <w:szCs w:val="21"/>
          <w:lang w:val="en-US" w:eastAsia="zh-CN"/>
        </w:rPr>
        <w:t>5米以上安全间距</w:t>
      </w:r>
      <w:r>
        <w:rPr>
          <w:rFonts w:hint="eastAsia" w:cs="宋体" w:asciiTheme="minorEastAsia" w:hAnsiTheme="minorEastAsia" w:eastAsiaTheme="minorEastAsia"/>
          <w:color w:val="auto"/>
          <w:sz w:val="28"/>
          <w:szCs w:val="21"/>
          <w:lang w:eastAsia="zh-CN"/>
        </w:rPr>
        <w:t xml:space="preserve">，并办理水利工程质量安全监督手续，接受相关水行政主管部门检查和监督；由于桥梁所在河段目前没有正在实施的相关规划，因此不涉及对河道规划的影响。 </w:t>
      </w:r>
    </w:p>
    <w:p>
      <w:pPr>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eastAsia="zh-CN"/>
        </w:rPr>
        <w:t xml:space="preserve">（3）河道开挖施工应积极配合水行政主管部门做好安全度汛河道的防汛、安全过流等工作。 </w:t>
      </w:r>
    </w:p>
    <w:p>
      <w:pPr>
        <w:rPr>
          <w:rFonts w:hint="eastAsia" w:cs="宋体" w:asciiTheme="minorEastAsia" w:hAnsiTheme="minorEastAsia" w:eastAsiaTheme="minorEastAsia"/>
          <w:color w:val="auto"/>
          <w:sz w:val="28"/>
          <w:szCs w:val="21"/>
          <w:lang w:eastAsia="zh-CN"/>
        </w:rPr>
      </w:pPr>
      <w:r>
        <w:rPr>
          <w:rFonts w:hint="eastAsia" w:cs="宋体" w:asciiTheme="minorEastAsia" w:hAnsiTheme="minorEastAsia" w:eastAsiaTheme="minorEastAsia"/>
          <w:color w:val="auto"/>
          <w:sz w:val="28"/>
          <w:szCs w:val="21"/>
          <w:lang w:eastAsia="zh-CN"/>
        </w:rPr>
        <w:t xml:space="preserve">（4）项目竣工前，所有产生的废料、淤泥应及时运到指定的弃渣场地，持续地严格做好施工垃圾的集中收集处理措施；施工期的废弃物、堆放物、废污水等，应进行有效管理，尽量减少对水体的污染，避免破坏水环境。施工完成后，应及时、彻底清理施工临时设施及废料。 </w:t>
      </w:r>
    </w:p>
    <w:p>
      <w:pPr>
        <w:rPr>
          <w:rFonts w:cs="宋体"/>
          <w:color w:val="auto"/>
          <w:sz w:val="32"/>
          <w:szCs w:val="40"/>
        </w:rPr>
      </w:pPr>
      <w:r>
        <w:rPr>
          <w:rFonts w:hint="eastAsia" w:cs="宋体" w:asciiTheme="minorEastAsia" w:hAnsiTheme="minorEastAsia" w:eastAsiaTheme="minorEastAsia"/>
          <w:color w:val="auto"/>
          <w:sz w:val="28"/>
          <w:szCs w:val="21"/>
          <w:lang w:eastAsia="zh-CN"/>
        </w:rPr>
        <w:t>（5）本次防洪评价在后续的河道施工等过程中，涉及水利防洪问题如有变更，建议主动与有关水行政主管部门衔接，涉及水行政许可的按规定报相关水行政主管部门审批</w:t>
      </w:r>
    </w:p>
    <w:p>
      <w:pPr>
        <w:pStyle w:val="38"/>
        <w:numPr>
          <w:ilvl w:val="0"/>
          <w:numId w:val="9"/>
        </w:numPr>
        <w:rPr>
          <w:rFonts w:cs="宋体"/>
          <w:color w:val="auto"/>
          <w:sz w:val="32"/>
          <w:szCs w:val="40"/>
        </w:rPr>
      </w:pPr>
      <w:bookmarkStart w:id="238" w:name="_Toc32293"/>
      <w:r>
        <w:rPr>
          <w:rFonts w:hint="eastAsia" w:cs="宋体"/>
          <w:color w:val="auto"/>
          <w:sz w:val="32"/>
          <w:szCs w:val="40"/>
          <w:lang w:eastAsia="zh-CN"/>
        </w:rPr>
        <w:t>古树名木及大树保护</w:t>
      </w:r>
      <w:bookmarkEnd w:id="238"/>
    </w:p>
    <w:p>
      <w:pPr>
        <w:pStyle w:val="39"/>
        <w:numPr>
          <w:ilvl w:val="1"/>
          <w:numId w:val="19"/>
        </w:numPr>
        <w:rPr>
          <w:rFonts w:hint="eastAsia" w:ascii="宋体" w:hAnsi="宋体" w:eastAsia="宋体" w:cs="宋体"/>
          <w:color w:val="auto"/>
          <w:lang w:val="en-US" w:eastAsia="zh-CN"/>
        </w:rPr>
      </w:pPr>
      <w:bookmarkStart w:id="239" w:name="_Toc15521"/>
      <w:bookmarkStart w:id="240" w:name="_Toc3962"/>
      <w:bookmarkStart w:id="241" w:name="_Toc6558"/>
      <w:bookmarkStart w:id="242" w:name="_Toc10105"/>
      <w:r>
        <w:rPr>
          <w:rFonts w:hint="eastAsia" w:ascii="宋体" w:hAnsi="宋体" w:eastAsia="宋体" w:cs="宋体"/>
          <w:color w:val="auto"/>
          <w:lang w:val="en-US" w:eastAsia="zh-CN"/>
        </w:rPr>
        <w:t>编制依据</w:t>
      </w:r>
      <w:bookmarkEnd w:id="239"/>
      <w:bookmarkEnd w:id="240"/>
      <w:bookmarkEnd w:id="241"/>
      <w:bookmarkEnd w:id="242"/>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val="en-US" w:eastAsia="zh-CN"/>
        </w:rPr>
      </w:pPr>
      <w:r>
        <w:rPr>
          <w:rFonts w:hint="eastAsia" w:ascii="宋体" w:hAnsi="宋体" w:eastAsia="宋体" w:cs="宋体"/>
          <w:color w:val="auto"/>
          <w:lang w:eastAsia="zh-CN"/>
        </w:rPr>
        <w:t>《广州市水务局关于加强树木迁移事前审查的通知》（JGC20210201）</w:t>
      </w:r>
      <w:r>
        <w:rPr>
          <w:rFonts w:hint="eastAsia" w:ascii="宋体" w:hAnsi="宋体" w:cs="宋体"/>
          <w:color w:val="auto"/>
          <w:lang w:eastAsia="zh-CN"/>
        </w:rPr>
        <w:t>；</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val="en-US" w:eastAsia="zh-CN"/>
        </w:rPr>
      </w:pPr>
      <w:r>
        <w:rPr>
          <w:rFonts w:hint="eastAsia" w:ascii="宋体" w:hAnsi="宋体" w:eastAsia="宋体" w:cs="宋体"/>
          <w:color w:val="auto"/>
          <w:lang w:eastAsia="zh-CN"/>
        </w:rPr>
        <w:t>《广州市水务局转发广州市发展改革委关于落实市专项工作要求加强城市建设项目立项审批管理的函》（GJC20211186）</w:t>
      </w:r>
      <w:r>
        <w:rPr>
          <w:rFonts w:hint="eastAsia" w:ascii="宋体" w:hAnsi="宋体" w:cs="宋体"/>
          <w:color w:val="auto"/>
          <w:lang w:eastAsia="zh-CN"/>
        </w:rPr>
        <w:t>；</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城市园林绿化工程施工及验收规范（CJJ-82-2012）；</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城市园林绿化用植物材料木本苗（DB11/T211-2003）；</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园林绿化养护管理技术规范（DBJ440100T-14-2008）；</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广州市建设工程文明施工管理规定；</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广州市市政工程文明施工规范实施细则；</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广州市城市道路绿化养护管理质量标准一级标准；</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广州市从化区乔木移植技术标准；</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园林植物修剪技术规范；</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val="en-US" w:eastAsia="zh-CN"/>
        </w:rPr>
      </w:pPr>
      <w:r>
        <w:rPr>
          <w:rFonts w:hint="eastAsia" w:ascii="宋体" w:hAnsi="宋体" w:eastAsia="宋体" w:cs="宋体"/>
          <w:color w:val="auto"/>
          <w:szCs w:val="21"/>
          <w:lang w:val="en-US" w:eastAsia="zh-CN"/>
        </w:rPr>
        <w:t>《广州市城市树木保护管理规定（试行）》[2022]1号文件</w:t>
      </w:r>
      <w:r>
        <w:rPr>
          <w:rFonts w:hint="eastAsia" w:ascii="宋体" w:hAnsi="宋体" w:eastAsia="宋体" w:cs="宋体"/>
          <w:color w:val="auto"/>
          <w:lang w:val="en-US" w:eastAsia="zh-CN"/>
        </w:rPr>
        <w:t>；</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val="en-US" w:eastAsia="zh-CN"/>
        </w:rPr>
      </w:pPr>
      <w:r>
        <w:rPr>
          <w:rFonts w:hint="eastAsia" w:ascii="宋体" w:hAnsi="宋体" w:eastAsia="宋体" w:cs="宋体"/>
          <w:color w:val="auto"/>
          <w:lang w:eastAsia="zh-CN"/>
        </w:rPr>
        <w:t>《广州市城市树木保护专章编制指引》（2022年6月）；</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《广州市绿化条例》；</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《广州市城市道路绿化树木处理技术指引（试行）》；</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城市园林绿化行业标准、其他参考文件</w:t>
      </w:r>
      <w:r>
        <w:rPr>
          <w:rFonts w:hint="eastAsia" w:ascii="宋体" w:hAnsi="宋体" w:cs="宋体"/>
          <w:color w:val="auto"/>
          <w:lang w:val="en-US" w:eastAsia="zh-CN"/>
        </w:rPr>
        <w:t>；</w:t>
      </w:r>
    </w:p>
    <w:p>
      <w:pPr>
        <w:keepNext w:val="0"/>
        <w:keepLines w:val="0"/>
        <w:pageBreakBefore w:val="0"/>
        <w:widowControl w:val="0"/>
        <w:numPr>
          <w:ilvl w:val="0"/>
          <w:numId w:val="37"/>
        </w:numPr>
        <w:kinsoku/>
        <w:wordWrap/>
        <w:overflowPunct/>
        <w:topLinePunct w:val="0"/>
        <w:autoSpaceDE/>
        <w:autoSpaceDN/>
        <w:bidi w:val="0"/>
        <w:adjustRightInd/>
        <w:snapToGrid/>
        <w:ind w:left="0" w:leftChars="0" w:firstLine="564" w:firstLineChars="200"/>
        <w:textAlignment w:val="auto"/>
        <w:rPr>
          <w:rFonts w:cs="宋体"/>
          <w:color w:val="auto"/>
        </w:rPr>
      </w:pPr>
      <w:r>
        <w:rPr>
          <w:rFonts w:hint="eastAsia" w:ascii="宋体" w:hAnsi="宋体" w:eastAsia="宋体" w:cs="宋体"/>
          <w:color w:val="auto"/>
          <w:lang w:val="en-US" w:eastAsia="zh-CN"/>
        </w:rPr>
        <w:t>业主提供的其他资料。</w:t>
      </w:r>
    </w:p>
    <w:p>
      <w:pPr>
        <w:pStyle w:val="39"/>
        <w:numPr>
          <w:ilvl w:val="1"/>
          <w:numId w:val="9"/>
        </w:numPr>
        <w:rPr>
          <w:rFonts w:hint="eastAsia" w:cs="宋体"/>
          <w:color w:val="auto"/>
          <w:sz w:val="28"/>
          <w:szCs w:val="28"/>
          <w:lang w:val="en-US" w:eastAsia="zh-CN"/>
        </w:rPr>
      </w:pPr>
      <w:bookmarkStart w:id="243" w:name="_Toc14258"/>
      <w:bookmarkStart w:id="244" w:name="_Toc9845"/>
      <w:r>
        <w:rPr>
          <w:rFonts w:hint="eastAsia" w:cs="宋体"/>
          <w:color w:val="auto"/>
          <w:sz w:val="28"/>
          <w:szCs w:val="28"/>
          <w:lang w:val="en-US" w:eastAsia="zh-CN"/>
        </w:rPr>
        <w:t>树木资源调查</w:t>
      </w:r>
      <w:bookmarkEnd w:id="243"/>
      <w:bookmarkEnd w:id="244"/>
    </w:p>
    <w:p>
      <w:pPr>
        <w:pStyle w:val="40"/>
        <w:numPr>
          <w:ilvl w:val="2"/>
          <w:numId w:val="9"/>
        </w:numPr>
        <w:rPr>
          <w:rFonts w:hint="eastAsia" w:cs="宋体" w:asciiTheme="minorEastAsia" w:hAnsiTheme="minorEastAsia" w:eastAsiaTheme="minorEastAsia"/>
          <w:color w:val="auto"/>
          <w:sz w:val="28"/>
          <w:szCs w:val="28"/>
          <w:lang w:val="en-US" w:eastAsia="zh-CN"/>
        </w:rPr>
      </w:pPr>
      <w:r>
        <w:rPr>
          <w:rFonts w:hint="eastAsia" w:cs="宋体" w:asciiTheme="minorEastAsia" w:hAnsiTheme="minorEastAsia" w:eastAsiaTheme="minorEastAsia"/>
          <w:color w:val="auto"/>
          <w:sz w:val="28"/>
          <w:szCs w:val="28"/>
          <w:lang w:val="en-US" w:eastAsia="zh-CN"/>
        </w:rPr>
        <w:t>调查内容与方法</w:t>
      </w:r>
    </w:p>
    <w:p>
      <w:pPr>
        <w:pStyle w:val="89"/>
        <w:numPr>
          <w:ilvl w:val="0"/>
          <w:numId w:val="0"/>
        </w:numPr>
        <w:tabs>
          <w:tab w:val="clear" w:pos="0"/>
        </w:tabs>
        <w:bidi w:val="0"/>
        <w:spacing w:line="360" w:lineRule="auto"/>
        <w:ind w:leftChars="0"/>
        <w:rPr>
          <w:rFonts w:hint="eastAsia" w:ascii="Times New Roman" w:hAnsi="Times New Roman" w:eastAsia="宋体" w:cs="Times New Roman"/>
          <w:b/>
          <w:bCs/>
          <w:color w:val="auto"/>
          <w:lang w:val="en-US" w:eastAsia="zh-CN"/>
        </w:rPr>
      </w:pPr>
      <w:r>
        <w:rPr>
          <w:rFonts w:hint="eastAsia" w:ascii="Times New Roman" w:hAnsi="Times New Roman" w:eastAsia="宋体" w:cs="Times New Roman"/>
          <w:b/>
          <w:bCs/>
          <w:color w:val="auto"/>
          <w:lang w:val="en-US" w:eastAsia="zh-CN"/>
        </w:rPr>
        <w:t>（1）调查范围</w:t>
      </w:r>
    </w:p>
    <w:p>
      <w:pPr>
        <w:rPr>
          <w:rFonts w:hint="default"/>
          <w:color w:val="auto"/>
          <w:lang w:val="en-US" w:eastAsia="zh-CN"/>
        </w:rPr>
      </w:pPr>
      <w:r>
        <w:rPr>
          <w:rFonts w:hint="eastAsia"/>
          <w:color w:val="auto"/>
          <w:lang w:val="en-US" w:eastAsia="zh-CN"/>
        </w:rPr>
        <w:t>本项目江埔街Y523片区建设范围内的现有绿地和现状城市树木。</w:t>
      </w:r>
    </w:p>
    <w:p>
      <w:pPr>
        <w:pStyle w:val="89"/>
        <w:numPr>
          <w:ilvl w:val="2"/>
          <w:numId w:val="0"/>
        </w:numPr>
        <w:tabs>
          <w:tab w:val="clear" w:pos="0"/>
        </w:tabs>
        <w:bidi w:val="0"/>
        <w:spacing w:line="360" w:lineRule="auto"/>
        <w:ind w:leftChars="0"/>
        <w:rPr>
          <w:rFonts w:hint="eastAsia" w:ascii="Times New Roman" w:hAnsi="Times New Roman" w:eastAsia="宋体" w:cs="Times New Roman"/>
          <w:b/>
          <w:bCs/>
          <w:color w:val="auto"/>
          <w:lang w:val="en-US" w:eastAsia="zh-CN"/>
        </w:rPr>
      </w:pPr>
      <w:r>
        <w:rPr>
          <w:rFonts w:hint="eastAsia" w:ascii="Times New Roman" w:hAnsi="Times New Roman" w:eastAsia="宋体" w:cs="Times New Roman"/>
          <w:b/>
          <w:bCs/>
          <w:color w:val="auto"/>
          <w:lang w:val="en-US" w:eastAsia="zh-CN"/>
        </w:rPr>
        <w:t>（2）调查对象</w:t>
      </w:r>
    </w:p>
    <w:p>
      <w:pPr>
        <w:rPr>
          <w:rFonts w:hint="eastAsia"/>
          <w:color w:val="auto"/>
          <w:lang w:val="en-US" w:eastAsia="zh-CN"/>
        </w:rPr>
      </w:pPr>
      <w:r>
        <w:rPr>
          <w:rFonts w:hint="eastAsia"/>
          <w:color w:val="auto"/>
          <w:lang w:val="en-US" w:eastAsia="zh-CN"/>
        </w:rPr>
        <w:t>（1）现有绿地</w:t>
      </w:r>
    </w:p>
    <w:p>
      <w:pPr>
        <w:rPr>
          <w:rFonts w:hint="eastAsia"/>
          <w:color w:val="auto"/>
          <w:lang w:val="en-US" w:eastAsia="zh-CN"/>
        </w:rPr>
      </w:pPr>
      <w:r>
        <w:rPr>
          <w:rFonts w:hint="eastAsia"/>
          <w:color w:val="auto"/>
          <w:lang w:val="en-US" w:eastAsia="zh-CN"/>
        </w:rPr>
        <w:t>（2）古树名木</w:t>
      </w:r>
    </w:p>
    <w:p>
      <w:pPr>
        <w:pStyle w:val="40"/>
        <w:numPr>
          <w:ilvl w:val="2"/>
          <w:numId w:val="9"/>
        </w:numPr>
        <w:rPr>
          <w:rFonts w:hint="eastAsia" w:cs="宋体" w:asciiTheme="minorEastAsia" w:hAnsiTheme="minorEastAsia" w:eastAsiaTheme="minorEastAsia"/>
          <w:color w:val="auto"/>
          <w:sz w:val="28"/>
          <w:szCs w:val="28"/>
          <w:lang w:val="en-US" w:eastAsia="zh-CN"/>
        </w:rPr>
      </w:pPr>
      <w:r>
        <w:rPr>
          <w:rFonts w:hint="eastAsia" w:cs="宋体" w:asciiTheme="minorEastAsia" w:hAnsiTheme="minorEastAsia" w:eastAsiaTheme="minorEastAsia"/>
          <w:color w:val="auto"/>
          <w:sz w:val="28"/>
          <w:szCs w:val="28"/>
          <w:lang w:val="en-US" w:eastAsia="zh-CN"/>
        </w:rPr>
        <w:t>资源状况分析</w:t>
      </w:r>
    </w:p>
    <w:p>
      <w:pPr>
        <w:rPr>
          <w:rFonts w:hint="eastAsia" w:eastAsia="宋体"/>
          <w:color w:val="auto"/>
          <w:sz w:val="28"/>
          <w:szCs w:val="28"/>
          <w:highlight w:val="none"/>
          <w:lang w:eastAsia="zh-CN"/>
        </w:rPr>
      </w:pPr>
      <w:r>
        <w:rPr>
          <w:rFonts w:hint="eastAsia"/>
          <w:color w:val="auto"/>
          <w:sz w:val="28"/>
          <w:szCs w:val="28"/>
          <w:highlight w:val="none"/>
        </w:rPr>
        <w:t>根据《广州市水务局关于加强树木迁移事前审查的通知》</w:t>
      </w:r>
      <w:r>
        <w:rPr>
          <w:rFonts w:hint="eastAsia"/>
          <w:color w:val="auto"/>
          <w:sz w:val="28"/>
          <w:szCs w:val="28"/>
          <w:highlight w:val="none"/>
          <w:lang w:eastAsia="zh-CN"/>
        </w:rPr>
        <w:t>（</w:t>
      </w:r>
      <w:r>
        <w:rPr>
          <w:rFonts w:hint="eastAsia"/>
          <w:color w:val="auto"/>
          <w:sz w:val="28"/>
          <w:szCs w:val="28"/>
          <w:highlight w:val="none"/>
        </w:rPr>
        <w:t>JGC20210201</w:t>
      </w:r>
      <w:r>
        <w:rPr>
          <w:rFonts w:hint="eastAsia"/>
          <w:color w:val="auto"/>
          <w:sz w:val="28"/>
          <w:szCs w:val="28"/>
          <w:highlight w:val="none"/>
          <w:lang w:eastAsia="zh-CN"/>
        </w:rPr>
        <w:t>）</w:t>
      </w:r>
      <w:r>
        <w:rPr>
          <w:rFonts w:hint="eastAsia"/>
          <w:color w:val="auto"/>
          <w:sz w:val="28"/>
          <w:szCs w:val="28"/>
          <w:highlight w:val="none"/>
        </w:rPr>
        <w:t>及《广州市水务局转发广州市发展改革委关于落实市专项工作要求加强城市建设项目立项审批管理的函》</w:t>
      </w:r>
      <w:r>
        <w:rPr>
          <w:rFonts w:hint="eastAsia"/>
          <w:color w:val="auto"/>
          <w:sz w:val="28"/>
          <w:szCs w:val="28"/>
          <w:highlight w:val="none"/>
          <w:lang w:eastAsia="zh-CN"/>
        </w:rPr>
        <w:t>（</w:t>
      </w:r>
      <w:r>
        <w:rPr>
          <w:rFonts w:hint="eastAsia"/>
          <w:color w:val="auto"/>
          <w:sz w:val="28"/>
          <w:szCs w:val="28"/>
          <w:highlight w:val="none"/>
        </w:rPr>
        <w:t>GJC20211186</w:t>
      </w:r>
      <w:r>
        <w:rPr>
          <w:rFonts w:hint="eastAsia"/>
          <w:color w:val="auto"/>
          <w:sz w:val="28"/>
          <w:szCs w:val="28"/>
          <w:highlight w:val="none"/>
          <w:lang w:eastAsia="zh-CN"/>
        </w:rPr>
        <w:t>）</w:t>
      </w:r>
      <w:r>
        <w:rPr>
          <w:rFonts w:hint="eastAsia"/>
          <w:color w:val="auto"/>
          <w:sz w:val="28"/>
          <w:szCs w:val="28"/>
          <w:highlight w:val="none"/>
        </w:rPr>
        <w:t>的通知，各区行政主管部门要督促辖内水务工程建设单位落实树木迁移事前审查的工作要求。各建设单位在初步设计阶段，如涉及树木迁移的，要做好科学论证并向林业和园林部门申请审查，未通过审查的不得实施。本工程树木保护如下</w:t>
      </w:r>
      <w:r>
        <w:rPr>
          <w:rFonts w:hint="eastAsia"/>
          <w:color w:val="auto"/>
          <w:sz w:val="28"/>
          <w:szCs w:val="28"/>
          <w:highlight w:val="none"/>
          <w:lang w:eastAsia="zh-CN"/>
        </w:rPr>
        <w:t>：</w:t>
      </w:r>
    </w:p>
    <w:p>
      <w:pPr>
        <w:numPr>
          <w:ilvl w:val="0"/>
          <w:numId w:val="40"/>
        </w:numPr>
        <w:rPr>
          <w:rFonts w:hint="eastAsia"/>
          <w:color w:val="auto"/>
          <w:sz w:val="28"/>
          <w:szCs w:val="28"/>
          <w:highlight w:val="none"/>
        </w:rPr>
      </w:pPr>
      <w:r>
        <w:rPr>
          <w:rFonts w:hint="eastAsia"/>
          <w:color w:val="auto"/>
          <w:sz w:val="28"/>
          <w:szCs w:val="28"/>
          <w:highlight w:val="none"/>
        </w:rPr>
        <w:t>项目建设中的树木迁改区域</w:t>
      </w:r>
    </w:p>
    <w:p>
      <w:pPr>
        <w:rPr>
          <w:rFonts w:hint="eastAsia"/>
          <w:color w:val="auto"/>
          <w:sz w:val="28"/>
          <w:szCs w:val="28"/>
          <w:highlight w:val="none"/>
          <w:lang w:val="en-US" w:eastAsia="zh-CN"/>
        </w:rPr>
      </w:pPr>
      <w:r>
        <w:rPr>
          <w:rFonts w:hint="eastAsia"/>
          <w:color w:val="auto"/>
          <w:sz w:val="28"/>
          <w:szCs w:val="28"/>
          <w:highlight w:val="none"/>
        </w:rPr>
        <w:t>根据《广州市树木保护工作指引(试行)》（穗林业园林规（2021)152 号)，广州市行政区域内的树木保护对象主要包括胸径</w:t>
      </w:r>
      <w:r>
        <w:rPr>
          <w:rFonts w:hint="eastAsia"/>
          <w:color w:val="auto"/>
          <w:sz w:val="28"/>
          <w:szCs w:val="28"/>
          <w:highlight w:val="none"/>
          <w:lang w:val="en-US" w:eastAsia="zh-CN"/>
        </w:rPr>
        <w:t>2</w:t>
      </w:r>
      <w:r>
        <w:rPr>
          <w:rFonts w:hint="eastAsia"/>
          <w:color w:val="auto"/>
          <w:sz w:val="28"/>
          <w:szCs w:val="28"/>
          <w:highlight w:val="none"/>
        </w:rPr>
        <w:t>0cm以上80cm以下的树木(以下简称大树)及树龄在八十年以上不足一百年的树木以及胸径八十厘米以上的树木(以下简称古树后续资源)。</w:t>
      </w:r>
      <w:r>
        <w:rPr>
          <w:rFonts w:hint="eastAsia"/>
          <w:color w:val="auto"/>
          <w:sz w:val="28"/>
          <w:szCs w:val="28"/>
          <w:lang w:val="en-US" w:eastAsia="zh-CN"/>
        </w:rPr>
        <w:t>通过收集江埔街古树名木资料显示，江埔街经鉴定共有古树名木28棵，其中本项目Y523片区内古树名木8棵，树种主要为榕树等，详见下表所示。经核对，本项目建设范围内计划新建管道的范围不涉及古树名木资源，对其无影响</w:t>
      </w:r>
      <w:r>
        <w:rPr>
          <w:rFonts w:hint="eastAsia"/>
          <w:color w:val="auto"/>
          <w:sz w:val="28"/>
          <w:szCs w:val="28"/>
          <w:highlight w:val="none"/>
        </w:rPr>
        <w:t>。</w:t>
      </w:r>
    </w:p>
    <w:p>
      <w:pPr>
        <w:pStyle w:val="41"/>
        <w:keepNext/>
        <w:keepLines w:val="0"/>
        <w:pageBreakBefore w:val="0"/>
        <w:widowControl w:val="0"/>
        <w:numPr>
          <w:ilvl w:val="7"/>
          <w:numId w:val="9"/>
        </w:numPr>
        <w:kinsoku/>
        <w:wordWrap/>
        <w:overflowPunct/>
        <w:topLinePunct w:val="0"/>
        <w:autoSpaceDE/>
        <w:autoSpaceDN/>
        <w:bidi w:val="0"/>
        <w:adjustRightInd/>
        <w:snapToGrid/>
        <w:textAlignment w:val="auto"/>
        <w:rPr>
          <w:rFonts w:hint="default" w:cs="宋体" w:asciiTheme="minorEastAsia" w:hAnsiTheme="minorEastAsia" w:eastAsiaTheme="minorEastAsia"/>
          <w:color w:val="auto"/>
          <w:sz w:val="28"/>
          <w:szCs w:val="21"/>
          <w:lang w:val="en-US" w:eastAsia="zh-CN"/>
        </w:rPr>
      </w:pPr>
      <w:r>
        <w:rPr>
          <w:rFonts w:hint="eastAsia" w:cs="宋体" w:asciiTheme="minorEastAsia" w:hAnsiTheme="minorEastAsia" w:eastAsiaTheme="minorEastAsia"/>
          <w:color w:val="auto"/>
          <w:sz w:val="28"/>
          <w:szCs w:val="21"/>
          <w:lang w:val="en-US" w:eastAsia="zh-CN"/>
        </w:rPr>
        <w:t>古树名木信息表</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7"/>
        <w:gridCol w:w="1304"/>
        <w:gridCol w:w="3628"/>
        <w:gridCol w:w="1361"/>
        <w:gridCol w:w="1531"/>
        <w:gridCol w:w="1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7" w:type="dxa"/>
            <w:noWrap w:val="0"/>
            <w:vAlign w:val="center"/>
          </w:tcPr>
          <w:p>
            <w:pPr>
              <w:keepNext/>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序号</w:t>
            </w:r>
          </w:p>
        </w:tc>
        <w:tc>
          <w:tcPr>
            <w:tcW w:w="1304" w:type="dxa"/>
            <w:noWrap w:val="0"/>
            <w:vAlign w:val="center"/>
          </w:tcPr>
          <w:p>
            <w:pPr>
              <w:keepNext/>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树种</w:t>
            </w:r>
          </w:p>
        </w:tc>
        <w:tc>
          <w:tcPr>
            <w:tcW w:w="3628" w:type="dxa"/>
            <w:noWrap w:val="0"/>
            <w:vAlign w:val="center"/>
          </w:tcPr>
          <w:p>
            <w:pPr>
              <w:keepNext/>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地址</w:t>
            </w:r>
          </w:p>
        </w:tc>
        <w:tc>
          <w:tcPr>
            <w:tcW w:w="1361" w:type="dxa"/>
            <w:noWrap w:val="0"/>
            <w:vAlign w:val="center"/>
          </w:tcPr>
          <w:p>
            <w:pPr>
              <w:keepNext/>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树龄（年）</w:t>
            </w:r>
          </w:p>
        </w:tc>
        <w:tc>
          <w:tcPr>
            <w:tcW w:w="1531" w:type="dxa"/>
            <w:noWrap w:val="0"/>
            <w:vAlign w:val="center"/>
          </w:tcPr>
          <w:p>
            <w:pPr>
              <w:keepNext/>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管护单位</w:t>
            </w:r>
          </w:p>
        </w:tc>
        <w:tc>
          <w:tcPr>
            <w:tcW w:w="1749" w:type="dxa"/>
            <w:noWrap w:val="0"/>
            <w:vAlign w:val="center"/>
          </w:tcPr>
          <w:p>
            <w:pPr>
              <w:keepNext/>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管护人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7" w:type="dxa"/>
            <w:noWrap w:val="0"/>
            <w:vAlign w:val="center"/>
          </w:tcPr>
          <w:p>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1304"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i w:val="0"/>
                <w:iCs w:val="0"/>
                <w:color w:val="auto"/>
                <w:kern w:val="0"/>
                <w:sz w:val="22"/>
                <w:szCs w:val="22"/>
                <w:u w:val="none"/>
                <w:lang w:val="en-US" w:eastAsia="zh-CN" w:bidi="ar"/>
              </w:rPr>
              <w:t>榕树</w:t>
            </w:r>
          </w:p>
        </w:tc>
        <w:tc>
          <w:tcPr>
            <w:tcW w:w="3628"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广东省广州市从化区江埔街道凤院村委会喜威燃气门前北侧</w:t>
            </w:r>
          </w:p>
        </w:tc>
        <w:tc>
          <w:tcPr>
            <w:tcW w:w="1361"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宋体" w:hAnsi="宋体" w:eastAsia="宋体" w:cs="宋体"/>
                <w:color w:val="auto"/>
                <w:sz w:val="21"/>
                <w:szCs w:val="21"/>
                <w:vertAlign w:val="baseline"/>
                <w:lang w:val="en-US" w:eastAsia="zh-CN"/>
              </w:rPr>
            </w:pPr>
            <w:r>
              <w:rPr>
                <w:rFonts w:hint="eastAsia" w:ascii="宋体" w:hAnsi="宋体" w:eastAsia="宋体" w:cs="宋体"/>
                <w:i w:val="0"/>
                <w:iCs w:val="0"/>
                <w:color w:val="auto"/>
                <w:kern w:val="0"/>
                <w:sz w:val="22"/>
                <w:szCs w:val="22"/>
                <w:u w:val="none"/>
                <w:lang w:val="en-US" w:eastAsia="zh-CN" w:bidi="ar"/>
              </w:rPr>
              <w:t>114</w:t>
            </w:r>
          </w:p>
        </w:tc>
        <w:tc>
          <w:tcPr>
            <w:tcW w:w="1531"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江埔街道办事处</w:t>
            </w:r>
          </w:p>
        </w:tc>
        <w:tc>
          <w:tcPr>
            <w:tcW w:w="1749"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ascii="Segoe UI" w:hAnsi="Segoe UI" w:eastAsia="Segoe UI" w:cs="Segoe UI"/>
                <w:i w:val="0"/>
                <w:iCs w:val="0"/>
                <w:caps w:val="0"/>
                <w:color w:val="auto"/>
                <w:spacing w:val="0"/>
                <w:sz w:val="21"/>
                <w:szCs w:val="21"/>
                <w:shd w:val="clear" w:fill="FFFFFF"/>
              </w:rPr>
              <w:t>凤院村委会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7" w:type="dxa"/>
            <w:noWrap w:val="0"/>
            <w:vAlign w:val="center"/>
          </w:tcPr>
          <w:p>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1304"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i w:val="0"/>
                <w:iCs w:val="0"/>
                <w:color w:val="auto"/>
                <w:kern w:val="0"/>
                <w:sz w:val="22"/>
                <w:szCs w:val="22"/>
                <w:u w:val="none"/>
                <w:lang w:val="en-US" w:eastAsia="zh-CN" w:bidi="ar"/>
              </w:rPr>
              <w:t>榕树</w:t>
            </w:r>
          </w:p>
        </w:tc>
        <w:tc>
          <w:tcPr>
            <w:tcW w:w="3628"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ascii="Segoe UI" w:hAnsi="Segoe UI" w:eastAsia="Segoe UI" w:cs="Segoe UI"/>
                <w:i w:val="0"/>
                <w:iCs w:val="0"/>
                <w:caps w:val="0"/>
                <w:color w:val="auto"/>
                <w:spacing w:val="0"/>
                <w:sz w:val="21"/>
                <w:szCs w:val="21"/>
                <w:shd w:val="clear" w:fill="FFFFFF"/>
              </w:rPr>
              <w:t>广东省广州市从化区江埔街道凤院村委会门前北侧</w:t>
            </w:r>
          </w:p>
        </w:tc>
        <w:tc>
          <w:tcPr>
            <w:tcW w:w="1361"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宋体" w:hAnsi="宋体" w:eastAsia="宋体" w:cs="宋体"/>
                <w:color w:val="auto"/>
                <w:sz w:val="21"/>
                <w:szCs w:val="21"/>
                <w:vertAlign w:val="baseline"/>
                <w:lang w:val="en-US" w:eastAsia="zh-CN"/>
              </w:rPr>
            </w:pPr>
            <w:r>
              <w:rPr>
                <w:rFonts w:hint="eastAsia" w:ascii="宋体" w:hAnsi="宋体" w:eastAsia="宋体" w:cs="宋体"/>
                <w:i w:val="0"/>
                <w:iCs w:val="0"/>
                <w:color w:val="auto"/>
                <w:kern w:val="0"/>
                <w:sz w:val="22"/>
                <w:szCs w:val="22"/>
                <w:u w:val="none"/>
                <w:lang w:val="en-US" w:eastAsia="zh-CN" w:bidi="ar"/>
              </w:rPr>
              <w:t>124</w:t>
            </w:r>
          </w:p>
        </w:tc>
        <w:tc>
          <w:tcPr>
            <w:tcW w:w="1531"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江埔街道办事处</w:t>
            </w:r>
          </w:p>
        </w:tc>
        <w:tc>
          <w:tcPr>
            <w:tcW w:w="1749"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ascii="Segoe UI" w:hAnsi="Segoe UI" w:eastAsia="Segoe UI" w:cs="Segoe UI"/>
                <w:i w:val="0"/>
                <w:iCs w:val="0"/>
                <w:caps w:val="0"/>
                <w:color w:val="auto"/>
                <w:spacing w:val="0"/>
                <w:sz w:val="21"/>
                <w:szCs w:val="21"/>
                <w:shd w:val="clear" w:fill="FFFFFF"/>
              </w:rPr>
              <w:t>凤院村委会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7" w:type="dxa"/>
            <w:noWrap w:val="0"/>
            <w:vAlign w:val="center"/>
          </w:tcPr>
          <w:p>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w:t>
            </w:r>
          </w:p>
        </w:tc>
        <w:tc>
          <w:tcPr>
            <w:tcW w:w="1304"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i w:val="0"/>
                <w:iCs w:val="0"/>
                <w:color w:val="auto"/>
                <w:kern w:val="0"/>
                <w:sz w:val="22"/>
                <w:szCs w:val="22"/>
                <w:u w:val="none"/>
                <w:lang w:val="en-US" w:eastAsia="zh-CN" w:bidi="ar"/>
              </w:rPr>
              <w:t>榕树</w:t>
            </w:r>
          </w:p>
        </w:tc>
        <w:tc>
          <w:tcPr>
            <w:tcW w:w="3628"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ascii="Segoe UI" w:hAnsi="Segoe UI" w:eastAsia="Segoe UI" w:cs="Segoe UI"/>
                <w:i w:val="0"/>
                <w:iCs w:val="0"/>
                <w:caps w:val="0"/>
                <w:color w:val="auto"/>
                <w:spacing w:val="0"/>
                <w:sz w:val="21"/>
                <w:szCs w:val="21"/>
                <w:shd w:val="clear" w:fill="FFFFFF"/>
              </w:rPr>
              <w:t>广东省广州市从化区江埔街道凤院村委会门前北侧</w:t>
            </w:r>
          </w:p>
        </w:tc>
        <w:tc>
          <w:tcPr>
            <w:tcW w:w="1361"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宋体" w:hAnsi="宋体" w:eastAsia="宋体" w:cs="宋体"/>
                <w:color w:val="auto"/>
                <w:sz w:val="21"/>
                <w:szCs w:val="21"/>
                <w:vertAlign w:val="baseline"/>
                <w:lang w:val="en-US" w:eastAsia="zh-CN"/>
              </w:rPr>
            </w:pPr>
            <w:r>
              <w:rPr>
                <w:rFonts w:hint="eastAsia" w:ascii="宋体" w:hAnsi="宋体" w:eastAsia="宋体" w:cs="宋体"/>
                <w:i w:val="0"/>
                <w:iCs w:val="0"/>
                <w:color w:val="auto"/>
                <w:kern w:val="0"/>
                <w:sz w:val="22"/>
                <w:szCs w:val="22"/>
                <w:u w:val="none"/>
                <w:lang w:val="en-US" w:eastAsia="zh-CN" w:bidi="ar"/>
              </w:rPr>
              <w:t>124</w:t>
            </w:r>
          </w:p>
        </w:tc>
        <w:tc>
          <w:tcPr>
            <w:tcW w:w="1531"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江埔街道办事处</w:t>
            </w:r>
          </w:p>
        </w:tc>
        <w:tc>
          <w:tcPr>
            <w:tcW w:w="1749"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ascii="Segoe UI" w:hAnsi="Segoe UI" w:eastAsia="Segoe UI" w:cs="Segoe UI"/>
                <w:i w:val="0"/>
                <w:iCs w:val="0"/>
                <w:caps w:val="0"/>
                <w:color w:val="auto"/>
                <w:spacing w:val="0"/>
                <w:sz w:val="21"/>
                <w:szCs w:val="21"/>
                <w:shd w:val="clear" w:fill="FFFFFF"/>
              </w:rPr>
              <w:t>凤院村委会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7" w:type="dxa"/>
            <w:noWrap w:val="0"/>
            <w:vAlign w:val="center"/>
          </w:tcPr>
          <w:p>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w:t>
            </w:r>
          </w:p>
        </w:tc>
        <w:tc>
          <w:tcPr>
            <w:tcW w:w="1304"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i w:val="0"/>
                <w:iCs w:val="0"/>
                <w:color w:val="auto"/>
                <w:kern w:val="0"/>
                <w:sz w:val="22"/>
                <w:szCs w:val="22"/>
                <w:u w:val="none"/>
                <w:lang w:val="en-US" w:eastAsia="zh-CN" w:bidi="ar"/>
              </w:rPr>
              <w:t>榕树</w:t>
            </w:r>
          </w:p>
        </w:tc>
        <w:tc>
          <w:tcPr>
            <w:tcW w:w="3628"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ascii="Segoe UI" w:hAnsi="Segoe UI" w:eastAsia="Segoe UI" w:cs="Segoe UI"/>
                <w:i w:val="0"/>
                <w:iCs w:val="0"/>
                <w:caps w:val="0"/>
                <w:color w:val="auto"/>
                <w:spacing w:val="0"/>
                <w:sz w:val="21"/>
                <w:szCs w:val="21"/>
                <w:shd w:val="clear" w:fill="FFFFFF"/>
              </w:rPr>
              <w:t>广东省广州市从化区江埔街道凤院村委会门前北侧</w:t>
            </w:r>
          </w:p>
        </w:tc>
        <w:tc>
          <w:tcPr>
            <w:tcW w:w="1361"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宋体" w:hAnsi="宋体" w:eastAsia="宋体" w:cs="宋体"/>
                <w:color w:val="auto"/>
                <w:sz w:val="21"/>
                <w:szCs w:val="21"/>
                <w:vertAlign w:val="baseline"/>
                <w:lang w:val="en-US" w:eastAsia="zh-CN"/>
              </w:rPr>
            </w:pPr>
            <w:r>
              <w:rPr>
                <w:rFonts w:hint="eastAsia" w:ascii="宋体" w:hAnsi="宋体" w:eastAsia="宋体" w:cs="宋体"/>
                <w:i w:val="0"/>
                <w:iCs w:val="0"/>
                <w:color w:val="auto"/>
                <w:kern w:val="0"/>
                <w:sz w:val="22"/>
                <w:szCs w:val="22"/>
                <w:u w:val="none"/>
                <w:lang w:val="en-US" w:eastAsia="zh-CN" w:bidi="ar"/>
              </w:rPr>
              <w:t>124</w:t>
            </w:r>
          </w:p>
        </w:tc>
        <w:tc>
          <w:tcPr>
            <w:tcW w:w="1531"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江埔街道办事处</w:t>
            </w:r>
          </w:p>
        </w:tc>
        <w:tc>
          <w:tcPr>
            <w:tcW w:w="1749"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ascii="Segoe UI" w:hAnsi="Segoe UI" w:eastAsia="Segoe UI" w:cs="Segoe UI"/>
                <w:i w:val="0"/>
                <w:iCs w:val="0"/>
                <w:caps w:val="0"/>
                <w:color w:val="auto"/>
                <w:spacing w:val="0"/>
                <w:sz w:val="21"/>
                <w:szCs w:val="21"/>
                <w:shd w:val="clear" w:fill="FFFFFF"/>
              </w:rPr>
              <w:t>凤院村委会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7" w:type="dxa"/>
            <w:noWrap w:val="0"/>
            <w:vAlign w:val="center"/>
          </w:tcPr>
          <w:p>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1304"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i w:val="0"/>
                <w:iCs w:val="0"/>
                <w:color w:val="auto"/>
                <w:kern w:val="0"/>
                <w:sz w:val="22"/>
                <w:szCs w:val="22"/>
                <w:u w:val="none"/>
                <w:lang w:val="en-US" w:eastAsia="zh-CN" w:bidi="ar"/>
              </w:rPr>
              <w:t>木荷</w:t>
            </w:r>
          </w:p>
        </w:tc>
        <w:tc>
          <w:tcPr>
            <w:tcW w:w="3628"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ascii="Segoe UI" w:hAnsi="Segoe UI" w:eastAsia="Segoe UI" w:cs="Segoe UI"/>
                <w:i w:val="0"/>
                <w:iCs w:val="0"/>
                <w:caps w:val="0"/>
                <w:color w:val="auto"/>
                <w:spacing w:val="0"/>
                <w:sz w:val="21"/>
                <w:szCs w:val="21"/>
                <w:shd w:val="clear" w:fill="FFFFFF"/>
              </w:rPr>
              <w:t>广东省广州市从化区江埔街道凤二村委会长水冚社东侧</w:t>
            </w:r>
          </w:p>
        </w:tc>
        <w:tc>
          <w:tcPr>
            <w:tcW w:w="1361"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宋体" w:hAnsi="宋体" w:eastAsia="宋体" w:cs="宋体"/>
                <w:color w:val="auto"/>
                <w:sz w:val="21"/>
                <w:szCs w:val="21"/>
                <w:vertAlign w:val="baseline"/>
                <w:lang w:val="en-US" w:eastAsia="zh-CN"/>
              </w:rPr>
            </w:pPr>
            <w:r>
              <w:rPr>
                <w:rFonts w:hint="eastAsia" w:ascii="宋体" w:hAnsi="宋体" w:eastAsia="宋体" w:cs="宋体"/>
                <w:i w:val="0"/>
                <w:iCs w:val="0"/>
                <w:color w:val="auto"/>
                <w:kern w:val="0"/>
                <w:sz w:val="22"/>
                <w:szCs w:val="22"/>
                <w:u w:val="none"/>
                <w:lang w:val="en-US" w:eastAsia="zh-CN" w:bidi="ar"/>
              </w:rPr>
              <w:t>154</w:t>
            </w:r>
          </w:p>
        </w:tc>
        <w:tc>
          <w:tcPr>
            <w:tcW w:w="1531"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江埔街道办事处</w:t>
            </w:r>
          </w:p>
        </w:tc>
        <w:tc>
          <w:tcPr>
            <w:tcW w:w="1749"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凤二村委会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7" w:type="dxa"/>
            <w:noWrap w:val="0"/>
            <w:vAlign w:val="center"/>
          </w:tcPr>
          <w:p>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w:t>
            </w:r>
          </w:p>
        </w:tc>
        <w:tc>
          <w:tcPr>
            <w:tcW w:w="1304"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i w:val="0"/>
                <w:iCs w:val="0"/>
                <w:color w:val="auto"/>
                <w:kern w:val="0"/>
                <w:sz w:val="22"/>
                <w:szCs w:val="22"/>
                <w:u w:val="none"/>
                <w:lang w:val="en-US" w:eastAsia="zh-CN" w:bidi="ar"/>
              </w:rPr>
              <w:t>榕树</w:t>
            </w:r>
          </w:p>
        </w:tc>
        <w:tc>
          <w:tcPr>
            <w:tcW w:w="3628"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left"/>
              <w:textAlignment w:val="center"/>
              <w:rPr>
                <w:rFonts w:hint="eastAsia" w:ascii="宋体" w:hAnsi="宋体" w:eastAsia="宋体" w:cs="宋体"/>
                <w:color w:val="auto"/>
                <w:sz w:val="21"/>
                <w:szCs w:val="21"/>
                <w:vertAlign w:val="baseline"/>
                <w:lang w:val="en-US" w:eastAsia="zh-CN"/>
              </w:rPr>
            </w:pPr>
            <w:r>
              <w:rPr>
                <w:rFonts w:ascii="Segoe UI" w:hAnsi="Segoe UI" w:eastAsia="Segoe UI" w:cs="Segoe UI"/>
                <w:i w:val="0"/>
                <w:iCs w:val="0"/>
                <w:caps w:val="0"/>
                <w:color w:val="auto"/>
                <w:spacing w:val="0"/>
                <w:sz w:val="21"/>
                <w:szCs w:val="21"/>
                <w:shd w:val="clear" w:fill="FFFFFF"/>
              </w:rPr>
              <w:t>广东省广州市从化区江埔街道凤二村委会田心围祠堂前东侧</w:t>
            </w:r>
          </w:p>
        </w:tc>
        <w:tc>
          <w:tcPr>
            <w:tcW w:w="1361"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宋体" w:hAnsi="宋体" w:eastAsia="宋体" w:cs="宋体"/>
                <w:color w:val="auto"/>
                <w:sz w:val="21"/>
                <w:szCs w:val="21"/>
                <w:vertAlign w:val="baseline"/>
                <w:lang w:val="en-US" w:eastAsia="zh-CN"/>
              </w:rPr>
            </w:pPr>
            <w:r>
              <w:rPr>
                <w:rFonts w:hint="eastAsia" w:ascii="宋体" w:hAnsi="宋体" w:eastAsia="宋体" w:cs="宋体"/>
                <w:i w:val="0"/>
                <w:iCs w:val="0"/>
                <w:color w:val="auto"/>
                <w:kern w:val="0"/>
                <w:sz w:val="22"/>
                <w:szCs w:val="22"/>
                <w:u w:val="none"/>
                <w:lang w:val="en-US" w:eastAsia="zh-CN" w:bidi="ar"/>
              </w:rPr>
              <w:t>120</w:t>
            </w:r>
          </w:p>
        </w:tc>
        <w:tc>
          <w:tcPr>
            <w:tcW w:w="1531"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江埔街道办事处</w:t>
            </w:r>
          </w:p>
        </w:tc>
        <w:tc>
          <w:tcPr>
            <w:tcW w:w="1749"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i w:val="0"/>
                <w:iCs w:val="0"/>
                <w:color w:val="auto"/>
                <w:kern w:val="0"/>
                <w:sz w:val="22"/>
                <w:szCs w:val="22"/>
                <w:u w:val="none"/>
                <w:lang w:val="en-US" w:eastAsia="zh-CN" w:bidi="ar"/>
              </w:rPr>
              <w:t>凤二村委会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7" w:type="dxa"/>
            <w:noWrap w:val="0"/>
            <w:vAlign w:val="center"/>
          </w:tcPr>
          <w:p>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w:t>
            </w:r>
          </w:p>
        </w:tc>
        <w:tc>
          <w:tcPr>
            <w:tcW w:w="1304"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i w:val="0"/>
                <w:iCs w:val="0"/>
                <w:color w:val="auto"/>
                <w:kern w:val="0"/>
                <w:sz w:val="22"/>
                <w:szCs w:val="22"/>
                <w:u w:val="none"/>
                <w:lang w:val="en-US" w:eastAsia="zh-CN" w:bidi="ar"/>
              </w:rPr>
              <w:t>榕树</w:t>
            </w:r>
          </w:p>
        </w:tc>
        <w:tc>
          <w:tcPr>
            <w:tcW w:w="3628"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ascii="Segoe UI" w:hAnsi="Segoe UI" w:eastAsia="Segoe UI" w:cs="Segoe UI"/>
                <w:i w:val="0"/>
                <w:iCs w:val="0"/>
                <w:caps w:val="0"/>
                <w:color w:val="auto"/>
                <w:spacing w:val="0"/>
                <w:sz w:val="21"/>
                <w:szCs w:val="21"/>
                <w:shd w:val="clear" w:fill="FFFFFF"/>
              </w:rPr>
              <w:t>广东省广州市从化区江埔街道凤二村委会榄树围社篮球场旁西侧</w:t>
            </w:r>
          </w:p>
        </w:tc>
        <w:tc>
          <w:tcPr>
            <w:tcW w:w="1361"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宋体" w:hAnsi="宋体" w:eastAsia="宋体" w:cs="宋体"/>
                <w:color w:val="auto"/>
                <w:sz w:val="21"/>
                <w:szCs w:val="21"/>
                <w:vertAlign w:val="baseline"/>
                <w:lang w:val="en-US" w:eastAsia="zh-CN"/>
              </w:rPr>
            </w:pPr>
            <w:r>
              <w:rPr>
                <w:rFonts w:hint="eastAsia" w:ascii="宋体" w:hAnsi="宋体" w:eastAsia="宋体" w:cs="宋体"/>
                <w:i w:val="0"/>
                <w:iCs w:val="0"/>
                <w:color w:val="auto"/>
                <w:kern w:val="0"/>
                <w:sz w:val="22"/>
                <w:szCs w:val="22"/>
                <w:u w:val="none"/>
                <w:lang w:val="en-US" w:eastAsia="zh-CN" w:bidi="ar"/>
              </w:rPr>
              <w:t>144</w:t>
            </w:r>
          </w:p>
        </w:tc>
        <w:tc>
          <w:tcPr>
            <w:tcW w:w="1531"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江埔街道办事处</w:t>
            </w:r>
          </w:p>
        </w:tc>
        <w:tc>
          <w:tcPr>
            <w:tcW w:w="1749"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i w:val="0"/>
                <w:iCs w:val="0"/>
                <w:color w:val="auto"/>
                <w:kern w:val="0"/>
                <w:sz w:val="22"/>
                <w:szCs w:val="22"/>
                <w:u w:val="none"/>
                <w:lang w:val="en-US" w:eastAsia="zh-CN" w:bidi="ar"/>
              </w:rPr>
              <w:t>凤二村委会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7" w:type="dxa"/>
            <w:noWrap w:val="0"/>
            <w:vAlign w:val="center"/>
          </w:tcPr>
          <w:p>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w:t>
            </w:r>
          </w:p>
        </w:tc>
        <w:tc>
          <w:tcPr>
            <w:tcW w:w="1304"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i w:val="0"/>
                <w:iCs w:val="0"/>
                <w:color w:val="auto"/>
                <w:kern w:val="0"/>
                <w:sz w:val="22"/>
                <w:szCs w:val="22"/>
                <w:u w:val="none"/>
                <w:lang w:val="en-US" w:eastAsia="zh-CN" w:bidi="ar"/>
              </w:rPr>
              <w:t>枫香树</w:t>
            </w:r>
          </w:p>
        </w:tc>
        <w:tc>
          <w:tcPr>
            <w:tcW w:w="3628"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ascii="Segoe UI" w:hAnsi="Segoe UI" w:eastAsia="Segoe UI" w:cs="Segoe UI"/>
                <w:i w:val="0"/>
                <w:iCs w:val="0"/>
                <w:caps w:val="0"/>
                <w:color w:val="auto"/>
                <w:spacing w:val="0"/>
                <w:sz w:val="21"/>
                <w:szCs w:val="21"/>
                <w:shd w:val="clear" w:fill="FFFFFF"/>
              </w:rPr>
              <w:t>广东省广州市从化区江埔街道凤二村委会长水冚社西侧</w:t>
            </w:r>
          </w:p>
        </w:tc>
        <w:tc>
          <w:tcPr>
            <w:tcW w:w="1361"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宋体" w:hAnsi="宋体" w:eastAsia="宋体" w:cs="宋体"/>
                <w:color w:val="auto"/>
                <w:sz w:val="21"/>
                <w:szCs w:val="21"/>
                <w:vertAlign w:val="baseline"/>
                <w:lang w:val="en-US" w:eastAsia="zh-CN"/>
              </w:rPr>
            </w:pPr>
            <w:r>
              <w:rPr>
                <w:rFonts w:hint="eastAsia" w:ascii="宋体" w:hAnsi="宋体" w:eastAsia="宋体" w:cs="宋体"/>
                <w:i w:val="0"/>
                <w:iCs w:val="0"/>
                <w:color w:val="auto"/>
                <w:kern w:val="0"/>
                <w:sz w:val="22"/>
                <w:szCs w:val="22"/>
                <w:u w:val="none"/>
                <w:lang w:val="en-US" w:eastAsia="zh-CN" w:bidi="ar"/>
              </w:rPr>
              <w:t>174</w:t>
            </w:r>
          </w:p>
        </w:tc>
        <w:tc>
          <w:tcPr>
            <w:tcW w:w="1531"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江埔街道办事处</w:t>
            </w:r>
          </w:p>
        </w:tc>
        <w:tc>
          <w:tcPr>
            <w:tcW w:w="1749" w:type="dxa"/>
            <w:noWrap w:val="0"/>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宋体" w:hAnsi="宋体" w:eastAsia="宋体" w:cs="宋体"/>
                <w:color w:val="auto"/>
                <w:sz w:val="21"/>
                <w:szCs w:val="21"/>
                <w:vertAlign w:val="baseline"/>
                <w:lang w:val="en-US" w:eastAsia="zh-CN"/>
              </w:rPr>
            </w:pPr>
            <w:r>
              <w:rPr>
                <w:rFonts w:hint="eastAsia" w:ascii="宋体" w:hAnsi="宋体" w:eastAsia="宋体" w:cs="宋体"/>
                <w:i w:val="0"/>
                <w:iCs w:val="0"/>
                <w:color w:val="auto"/>
                <w:kern w:val="0"/>
                <w:sz w:val="22"/>
                <w:szCs w:val="22"/>
                <w:u w:val="none"/>
                <w:lang w:val="en-US" w:eastAsia="zh-CN" w:bidi="ar"/>
              </w:rPr>
              <w:t>凤二村委会</w:t>
            </w:r>
          </w:p>
        </w:tc>
      </w:tr>
    </w:tbl>
    <w:p>
      <w:pPr>
        <w:ind w:left="0" w:leftChars="0" w:firstLine="0" w:firstLineChars="0"/>
        <w:rPr>
          <w:color w:val="auto"/>
        </w:rPr>
      </w:pPr>
      <w:r>
        <w:rPr>
          <w:color w:val="auto"/>
        </w:rPr>
        <w:drawing>
          <wp:inline distT="0" distB="0" distL="114300" distR="114300">
            <wp:extent cx="5546090" cy="4177030"/>
            <wp:effectExtent l="0" t="0" r="16510" b="13970"/>
            <wp:docPr id="1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3"/>
                    <pic:cNvPicPr>
                      <a:picLocks noChangeAspect="1"/>
                    </pic:cNvPicPr>
                  </pic:nvPicPr>
                  <pic:blipFill>
                    <a:blip r:embed="rId98"/>
                    <a:stretch>
                      <a:fillRect/>
                    </a:stretch>
                  </pic:blipFill>
                  <pic:spPr>
                    <a:xfrm>
                      <a:off x="0" y="0"/>
                      <a:ext cx="5546090" cy="4177030"/>
                    </a:xfrm>
                    <a:prstGeom prst="rect">
                      <a:avLst/>
                    </a:prstGeom>
                    <a:noFill/>
                    <a:ln>
                      <a:noFill/>
                    </a:ln>
                  </pic:spPr>
                </pic:pic>
              </a:graphicData>
            </a:graphic>
          </wp:inline>
        </w:drawing>
      </w:r>
    </w:p>
    <w:p>
      <w:pPr>
        <w:pStyle w:val="44"/>
        <w:numPr>
          <w:ilvl w:val="8"/>
          <w:numId w:val="30"/>
        </w:numPr>
        <w:bidi w:val="0"/>
        <w:jc w:val="center"/>
        <w:rPr>
          <w:rFonts w:hint="eastAsia" w:eastAsia="宋体" w:cs="宋体"/>
          <w:color w:val="auto"/>
          <w:lang w:eastAsia="zh-CN"/>
        </w:rPr>
      </w:pPr>
      <w:r>
        <w:rPr>
          <w:rFonts w:hint="eastAsia" w:eastAsia="宋体" w:cs="宋体"/>
          <w:color w:val="auto"/>
          <w:lang w:eastAsia="zh-CN"/>
        </w:rPr>
        <w:t>江浦街道古树名木资源分布图</w:t>
      </w:r>
    </w:p>
    <w:p>
      <w:pPr>
        <w:rPr>
          <w:color w:val="auto"/>
        </w:rPr>
      </w:pPr>
      <w:r>
        <w:rPr>
          <w:color w:val="auto"/>
        </w:rPr>
        <w:drawing>
          <wp:inline distT="0" distB="0" distL="114300" distR="114300">
            <wp:extent cx="2501900" cy="1803400"/>
            <wp:effectExtent l="0" t="0" r="12700" b="6350"/>
            <wp:docPr id="1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4"/>
                    <pic:cNvPicPr>
                      <a:picLocks noChangeAspect="1"/>
                    </pic:cNvPicPr>
                  </pic:nvPicPr>
                  <pic:blipFill>
                    <a:blip r:embed="rId99"/>
                    <a:stretch>
                      <a:fillRect/>
                    </a:stretch>
                  </pic:blipFill>
                  <pic:spPr>
                    <a:xfrm>
                      <a:off x="0" y="0"/>
                      <a:ext cx="2501900" cy="1803400"/>
                    </a:xfrm>
                    <a:prstGeom prst="rect">
                      <a:avLst/>
                    </a:prstGeom>
                    <a:noFill/>
                    <a:ln>
                      <a:noFill/>
                    </a:ln>
                  </pic:spPr>
                </pic:pic>
              </a:graphicData>
            </a:graphic>
          </wp:inline>
        </w:drawing>
      </w:r>
      <w:r>
        <w:rPr>
          <w:rFonts w:hint="eastAsia"/>
          <w:color w:val="auto"/>
          <w:lang w:val="en-US" w:eastAsia="zh-CN"/>
        </w:rPr>
        <w:t xml:space="preserve"> </w:t>
      </w:r>
      <w:r>
        <w:rPr>
          <w:color w:val="auto"/>
        </w:rPr>
        <w:drawing>
          <wp:inline distT="0" distB="0" distL="114300" distR="114300">
            <wp:extent cx="2642870" cy="1842770"/>
            <wp:effectExtent l="0" t="0" r="5080" b="5080"/>
            <wp:docPr id="10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5"/>
                    <pic:cNvPicPr>
                      <a:picLocks noChangeAspect="1"/>
                    </pic:cNvPicPr>
                  </pic:nvPicPr>
                  <pic:blipFill>
                    <a:blip r:embed="rId100"/>
                    <a:stretch>
                      <a:fillRect/>
                    </a:stretch>
                  </pic:blipFill>
                  <pic:spPr>
                    <a:xfrm>
                      <a:off x="0" y="0"/>
                      <a:ext cx="2642870" cy="1842770"/>
                    </a:xfrm>
                    <a:prstGeom prst="rect">
                      <a:avLst/>
                    </a:prstGeom>
                    <a:noFill/>
                    <a:ln>
                      <a:noFill/>
                    </a:ln>
                  </pic:spPr>
                </pic:pic>
              </a:graphicData>
            </a:graphic>
          </wp:inline>
        </w:drawing>
      </w:r>
    </w:p>
    <w:p>
      <w:pPr>
        <w:pStyle w:val="30"/>
        <w:ind w:firstLine="1060" w:firstLineChars="500"/>
        <w:rPr>
          <w:rFonts w:hint="eastAsia"/>
          <w:color w:val="auto"/>
          <w:lang w:val="en-US" w:eastAsia="zh-CN"/>
        </w:rPr>
      </w:pPr>
      <w:r>
        <w:rPr>
          <w:rFonts w:hint="eastAsia"/>
          <w:color w:val="auto"/>
          <w:lang w:eastAsia="zh-CN"/>
        </w:rPr>
        <w:t>图</w:t>
      </w:r>
      <w:r>
        <w:rPr>
          <w:rFonts w:hint="eastAsia"/>
          <w:color w:val="auto"/>
          <w:lang w:val="en-US" w:eastAsia="zh-CN"/>
        </w:rPr>
        <w:t xml:space="preserve">16.2-2 </w:t>
      </w:r>
      <w:r>
        <w:rPr>
          <w:rFonts w:hint="eastAsia"/>
          <w:color w:val="auto"/>
          <w:lang w:eastAsia="zh-CN"/>
        </w:rPr>
        <w:t>凤院村古树</w:t>
      </w:r>
      <w:r>
        <w:rPr>
          <w:rFonts w:hint="eastAsia"/>
          <w:color w:val="auto"/>
          <w:lang w:val="en-US" w:eastAsia="zh-CN"/>
        </w:rPr>
        <w:t xml:space="preserve">1                  </w:t>
      </w:r>
      <w:r>
        <w:rPr>
          <w:rFonts w:hint="eastAsia"/>
          <w:color w:val="auto"/>
          <w:lang w:eastAsia="zh-CN"/>
        </w:rPr>
        <w:t>图</w:t>
      </w:r>
      <w:r>
        <w:rPr>
          <w:rFonts w:hint="eastAsia"/>
          <w:color w:val="auto"/>
          <w:lang w:val="en-US" w:eastAsia="zh-CN"/>
        </w:rPr>
        <w:t xml:space="preserve">16.2-3 </w:t>
      </w:r>
      <w:r>
        <w:rPr>
          <w:rFonts w:hint="eastAsia"/>
          <w:color w:val="auto"/>
          <w:lang w:eastAsia="zh-CN"/>
        </w:rPr>
        <w:t>凤院村古树</w:t>
      </w:r>
      <w:r>
        <w:rPr>
          <w:rFonts w:hint="eastAsia"/>
          <w:color w:val="auto"/>
          <w:lang w:val="en-US" w:eastAsia="zh-CN"/>
        </w:rPr>
        <w:t>2</w:t>
      </w:r>
    </w:p>
    <w:p>
      <w:pPr>
        <w:pStyle w:val="30"/>
        <w:keepNext w:val="0"/>
        <w:keepLines w:val="0"/>
        <w:pageBreakBefore w:val="0"/>
        <w:widowControl/>
        <w:kinsoku/>
        <w:wordWrap/>
        <w:overflowPunct/>
        <w:topLinePunct w:val="0"/>
        <w:autoSpaceDE/>
        <w:autoSpaceDN/>
        <w:bidi w:val="0"/>
        <w:adjustRightInd/>
        <w:snapToGrid/>
        <w:ind w:left="0" w:firstLine="0" w:firstLineChars="0"/>
        <w:jc w:val="center"/>
        <w:textAlignment w:val="auto"/>
        <w:rPr>
          <w:color w:val="auto"/>
        </w:rPr>
      </w:pPr>
      <w:r>
        <w:rPr>
          <w:color w:val="auto"/>
        </w:rPr>
        <w:drawing>
          <wp:inline distT="0" distB="0" distL="114300" distR="114300">
            <wp:extent cx="2479675" cy="1821180"/>
            <wp:effectExtent l="0" t="0" r="15875" b="7620"/>
            <wp:docPr id="10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6"/>
                    <pic:cNvPicPr>
                      <a:picLocks noChangeAspect="1"/>
                    </pic:cNvPicPr>
                  </pic:nvPicPr>
                  <pic:blipFill>
                    <a:blip r:embed="rId101"/>
                    <a:stretch>
                      <a:fillRect/>
                    </a:stretch>
                  </pic:blipFill>
                  <pic:spPr>
                    <a:xfrm>
                      <a:off x="0" y="0"/>
                      <a:ext cx="2479675" cy="1821180"/>
                    </a:xfrm>
                    <a:prstGeom prst="rect">
                      <a:avLst/>
                    </a:prstGeom>
                    <a:noFill/>
                    <a:ln>
                      <a:noFill/>
                    </a:ln>
                  </pic:spPr>
                </pic:pic>
              </a:graphicData>
            </a:graphic>
          </wp:inline>
        </w:drawing>
      </w:r>
      <w:r>
        <w:rPr>
          <w:rFonts w:hint="eastAsia"/>
          <w:color w:val="auto"/>
          <w:lang w:val="en-US" w:eastAsia="zh-CN"/>
        </w:rPr>
        <w:t xml:space="preserve">  </w:t>
      </w:r>
      <w:r>
        <w:rPr>
          <w:color w:val="auto"/>
        </w:rPr>
        <w:drawing>
          <wp:inline distT="0" distB="0" distL="114300" distR="114300">
            <wp:extent cx="2444750" cy="1800225"/>
            <wp:effectExtent l="0" t="0" r="12700" b="9525"/>
            <wp:docPr id="10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8"/>
                    <pic:cNvPicPr>
                      <a:picLocks noChangeAspect="1"/>
                    </pic:cNvPicPr>
                  </pic:nvPicPr>
                  <pic:blipFill>
                    <a:blip r:embed="rId102"/>
                    <a:stretch>
                      <a:fillRect/>
                    </a:stretch>
                  </pic:blipFill>
                  <pic:spPr>
                    <a:xfrm>
                      <a:off x="0" y="0"/>
                      <a:ext cx="2444750" cy="1800225"/>
                    </a:xfrm>
                    <a:prstGeom prst="rect">
                      <a:avLst/>
                    </a:prstGeom>
                    <a:noFill/>
                    <a:ln>
                      <a:noFill/>
                    </a:ln>
                  </pic:spPr>
                </pic:pic>
              </a:graphicData>
            </a:graphic>
          </wp:inline>
        </w:drawing>
      </w:r>
    </w:p>
    <w:p>
      <w:pPr>
        <w:pStyle w:val="30"/>
        <w:keepNext w:val="0"/>
        <w:keepLines w:val="0"/>
        <w:pageBreakBefore w:val="0"/>
        <w:widowControl/>
        <w:kinsoku/>
        <w:wordWrap/>
        <w:overflowPunct/>
        <w:topLinePunct w:val="0"/>
        <w:autoSpaceDE/>
        <w:autoSpaceDN/>
        <w:bidi w:val="0"/>
        <w:adjustRightInd/>
        <w:snapToGrid/>
        <w:ind w:left="0" w:firstLine="0" w:firstLineChars="0"/>
        <w:jc w:val="center"/>
        <w:textAlignment w:val="auto"/>
        <w:rPr>
          <w:rFonts w:hint="eastAsia"/>
          <w:color w:val="auto"/>
          <w:lang w:val="en-US" w:eastAsia="zh-CN"/>
        </w:rPr>
      </w:pPr>
      <w:r>
        <w:rPr>
          <w:rFonts w:hint="eastAsia"/>
          <w:color w:val="auto"/>
          <w:lang w:eastAsia="zh-CN"/>
        </w:rPr>
        <w:t>图</w:t>
      </w:r>
      <w:r>
        <w:rPr>
          <w:rFonts w:hint="eastAsia"/>
          <w:color w:val="auto"/>
          <w:lang w:val="en-US" w:eastAsia="zh-CN"/>
        </w:rPr>
        <w:t xml:space="preserve">16.2-5 </w:t>
      </w:r>
      <w:r>
        <w:rPr>
          <w:rFonts w:hint="eastAsia"/>
          <w:color w:val="auto"/>
          <w:lang w:eastAsia="zh-CN"/>
        </w:rPr>
        <w:t>凤院村古树</w:t>
      </w:r>
      <w:r>
        <w:rPr>
          <w:rFonts w:hint="eastAsia"/>
          <w:color w:val="auto"/>
          <w:lang w:val="en-US" w:eastAsia="zh-CN"/>
        </w:rPr>
        <w:t xml:space="preserve">3                    </w:t>
      </w:r>
      <w:r>
        <w:rPr>
          <w:rFonts w:hint="eastAsia"/>
          <w:color w:val="auto"/>
          <w:lang w:eastAsia="zh-CN"/>
        </w:rPr>
        <w:t>图</w:t>
      </w:r>
      <w:r>
        <w:rPr>
          <w:rFonts w:hint="eastAsia"/>
          <w:color w:val="auto"/>
          <w:lang w:val="en-US" w:eastAsia="zh-CN"/>
        </w:rPr>
        <w:t xml:space="preserve">16.2-5 </w:t>
      </w:r>
      <w:r>
        <w:rPr>
          <w:rFonts w:hint="eastAsia"/>
          <w:color w:val="auto"/>
          <w:lang w:eastAsia="zh-CN"/>
        </w:rPr>
        <w:t>凤二村古树</w:t>
      </w:r>
      <w:r>
        <w:rPr>
          <w:rFonts w:hint="eastAsia"/>
          <w:color w:val="auto"/>
          <w:lang w:val="en-US" w:eastAsia="zh-CN"/>
        </w:rPr>
        <w:t>1</w:t>
      </w:r>
    </w:p>
    <w:p>
      <w:pPr>
        <w:pStyle w:val="30"/>
        <w:keepNext w:val="0"/>
        <w:keepLines w:val="0"/>
        <w:pageBreakBefore w:val="0"/>
        <w:widowControl/>
        <w:kinsoku/>
        <w:wordWrap/>
        <w:overflowPunct/>
        <w:topLinePunct w:val="0"/>
        <w:autoSpaceDE/>
        <w:autoSpaceDN/>
        <w:bidi w:val="0"/>
        <w:adjustRightInd/>
        <w:snapToGrid/>
        <w:ind w:left="0" w:firstLine="0" w:firstLineChars="0"/>
        <w:jc w:val="center"/>
        <w:textAlignment w:val="auto"/>
        <w:rPr>
          <w:color w:val="auto"/>
        </w:rPr>
      </w:pPr>
      <w:r>
        <w:rPr>
          <w:rFonts w:hint="eastAsia"/>
          <w:color w:val="auto"/>
          <w:lang w:val="en-US" w:eastAsia="zh-CN"/>
        </w:rPr>
        <w:t xml:space="preserve"> </w:t>
      </w:r>
      <w:r>
        <w:rPr>
          <w:color w:val="auto"/>
        </w:rPr>
        <w:drawing>
          <wp:inline distT="0" distB="0" distL="114300" distR="114300">
            <wp:extent cx="2540635" cy="1791335"/>
            <wp:effectExtent l="0" t="0" r="12065" b="18415"/>
            <wp:docPr id="10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9"/>
                    <pic:cNvPicPr>
                      <a:picLocks noChangeAspect="1"/>
                    </pic:cNvPicPr>
                  </pic:nvPicPr>
                  <pic:blipFill>
                    <a:blip r:embed="rId103"/>
                    <a:stretch>
                      <a:fillRect/>
                    </a:stretch>
                  </pic:blipFill>
                  <pic:spPr>
                    <a:xfrm>
                      <a:off x="0" y="0"/>
                      <a:ext cx="2540635" cy="1791335"/>
                    </a:xfrm>
                    <a:prstGeom prst="rect">
                      <a:avLst/>
                    </a:prstGeom>
                    <a:noFill/>
                    <a:ln>
                      <a:noFill/>
                    </a:ln>
                  </pic:spPr>
                </pic:pic>
              </a:graphicData>
            </a:graphic>
          </wp:inline>
        </w:drawing>
      </w:r>
      <w:r>
        <w:rPr>
          <w:rFonts w:hint="eastAsia"/>
          <w:color w:val="auto"/>
          <w:lang w:val="en-US" w:eastAsia="zh-CN"/>
        </w:rPr>
        <w:t xml:space="preserve">    </w:t>
      </w:r>
      <w:r>
        <w:rPr>
          <w:color w:val="auto"/>
        </w:rPr>
        <w:drawing>
          <wp:inline distT="0" distB="0" distL="114300" distR="114300">
            <wp:extent cx="2444750" cy="1803400"/>
            <wp:effectExtent l="0" t="0" r="12700" b="6350"/>
            <wp:docPr id="10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
                    <pic:cNvPicPr>
                      <a:picLocks noChangeAspect="1"/>
                    </pic:cNvPicPr>
                  </pic:nvPicPr>
                  <pic:blipFill>
                    <a:blip r:embed="rId104"/>
                    <a:stretch>
                      <a:fillRect/>
                    </a:stretch>
                  </pic:blipFill>
                  <pic:spPr>
                    <a:xfrm>
                      <a:off x="0" y="0"/>
                      <a:ext cx="2444750" cy="1803400"/>
                    </a:xfrm>
                    <a:prstGeom prst="rect">
                      <a:avLst/>
                    </a:prstGeom>
                    <a:noFill/>
                    <a:ln>
                      <a:noFill/>
                    </a:ln>
                  </pic:spPr>
                </pic:pic>
              </a:graphicData>
            </a:graphic>
          </wp:inline>
        </w:drawing>
      </w:r>
    </w:p>
    <w:p>
      <w:pPr>
        <w:pStyle w:val="30"/>
        <w:keepNext w:val="0"/>
        <w:keepLines w:val="0"/>
        <w:pageBreakBefore w:val="0"/>
        <w:widowControl/>
        <w:kinsoku/>
        <w:wordWrap/>
        <w:overflowPunct/>
        <w:topLinePunct w:val="0"/>
        <w:autoSpaceDE/>
        <w:autoSpaceDN/>
        <w:bidi w:val="0"/>
        <w:adjustRightInd/>
        <w:snapToGrid/>
        <w:ind w:left="0" w:firstLine="0" w:firstLineChars="0"/>
        <w:jc w:val="center"/>
        <w:textAlignment w:val="auto"/>
        <w:rPr>
          <w:rFonts w:hint="eastAsia"/>
          <w:color w:val="auto"/>
          <w:lang w:val="en-US" w:eastAsia="zh-CN"/>
        </w:rPr>
      </w:pPr>
      <w:r>
        <w:rPr>
          <w:rFonts w:hint="eastAsia"/>
          <w:color w:val="auto"/>
          <w:lang w:val="en-US" w:eastAsia="zh-CN"/>
        </w:rPr>
        <w:t xml:space="preserve"> </w:t>
      </w:r>
      <w:r>
        <w:rPr>
          <w:rFonts w:hint="eastAsia"/>
          <w:color w:val="auto"/>
          <w:lang w:eastAsia="zh-CN"/>
        </w:rPr>
        <w:t>图</w:t>
      </w:r>
      <w:r>
        <w:rPr>
          <w:rFonts w:hint="eastAsia"/>
          <w:color w:val="auto"/>
          <w:lang w:val="en-US" w:eastAsia="zh-CN"/>
        </w:rPr>
        <w:t xml:space="preserve">16.2-6 </w:t>
      </w:r>
      <w:r>
        <w:rPr>
          <w:rFonts w:hint="eastAsia"/>
          <w:color w:val="auto"/>
          <w:lang w:eastAsia="zh-CN"/>
        </w:rPr>
        <w:t>凤二村古树</w:t>
      </w:r>
      <w:r>
        <w:rPr>
          <w:rFonts w:hint="eastAsia"/>
          <w:color w:val="auto"/>
          <w:lang w:val="en-US" w:eastAsia="zh-CN"/>
        </w:rPr>
        <w:t xml:space="preserve">2                   </w:t>
      </w:r>
      <w:r>
        <w:rPr>
          <w:rFonts w:hint="eastAsia"/>
          <w:color w:val="auto"/>
          <w:lang w:eastAsia="zh-CN"/>
        </w:rPr>
        <w:t>图</w:t>
      </w:r>
      <w:r>
        <w:rPr>
          <w:rFonts w:hint="eastAsia"/>
          <w:color w:val="auto"/>
          <w:lang w:val="en-US" w:eastAsia="zh-CN"/>
        </w:rPr>
        <w:t xml:space="preserve">16.2-7 </w:t>
      </w:r>
      <w:r>
        <w:rPr>
          <w:rFonts w:hint="eastAsia"/>
          <w:color w:val="auto"/>
          <w:lang w:eastAsia="zh-CN"/>
        </w:rPr>
        <w:t>凤二村古树</w:t>
      </w:r>
      <w:r>
        <w:rPr>
          <w:rFonts w:hint="eastAsia"/>
          <w:color w:val="auto"/>
          <w:lang w:val="en-US" w:eastAsia="zh-CN"/>
        </w:rPr>
        <w:t>3</w:t>
      </w:r>
    </w:p>
    <w:p>
      <w:pPr>
        <w:pStyle w:val="30"/>
        <w:keepNext w:val="0"/>
        <w:keepLines w:val="0"/>
        <w:pageBreakBefore w:val="0"/>
        <w:widowControl/>
        <w:kinsoku/>
        <w:wordWrap/>
        <w:overflowPunct/>
        <w:topLinePunct w:val="0"/>
        <w:autoSpaceDE/>
        <w:autoSpaceDN/>
        <w:bidi w:val="0"/>
        <w:adjustRightInd/>
        <w:snapToGrid/>
        <w:ind w:left="0" w:firstLine="0" w:firstLineChars="0"/>
        <w:jc w:val="center"/>
        <w:textAlignment w:val="auto"/>
        <w:rPr>
          <w:color w:val="auto"/>
        </w:rPr>
      </w:pPr>
      <w:r>
        <w:rPr>
          <w:color w:val="auto"/>
        </w:rPr>
        <w:drawing>
          <wp:inline distT="0" distB="0" distL="114300" distR="114300">
            <wp:extent cx="2266315" cy="1852295"/>
            <wp:effectExtent l="0" t="0" r="635" b="14605"/>
            <wp:docPr id="1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
                    <pic:cNvPicPr>
                      <a:picLocks noChangeAspect="1"/>
                    </pic:cNvPicPr>
                  </pic:nvPicPr>
                  <pic:blipFill>
                    <a:blip r:embed="rId105"/>
                    <a:stretch>
                      <a:fillRect/>
                    </a:stretch>
                  </pic:blipFill>
                  <pic:spPr>
                    <a:xfrm>
                      <a:off x="0" y="0"/>
                      <a:ext cx="2266315" cy="1852295"/>
                    </a:xfrm>
                    <a:prstGeom prst="rect">
                      <a:avLst/>
                    </a:prstGeom>
                    <a:noFill/>
                    <a:ln>
                      <a:noFill/>
                    </a:ln>
                  </pic:spPr>
                </pic:pic>
              </a:graphicData>
            </a:graphic>
          </wp:inline>
        </w:drawing>
      </w:r>
      <w:r>
        <w:rPr>
          <w:rFonts w:hint="eastAsia"/>
          <w:color w:val="auto"/>
          <w:lang w:val="en-US" w:eastAsia="zh-CN"/>
        </w:rPr>
        <w:t xml:space="preserve">   </w:t>
      </w:r>
      <w:r>
        <w:rPr>
          <w:color w:val="auto"/>
        </w:rPr>
        <w:drawing>
          <wp:inline distT="0" distB="0" distL="114300" distR="114300">
            <wp:extent cx="2545715" cy="1847850"/>
            <wp:effectExtent l="0" t="0" r="6985" b="0"/>
            <wp:docPr id="11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2"/>
                    <pic:cNvPicPr>
                      <a:picLocks noChangeAspect="1"/>
                    </pic:cNvPicPr>
                  </pic:nvPicPr>
                  <pic:blipFill>
                    <a:blip r:embed="rId106"/>
                    <a:stretch>
                      <a:fillRect/>
                    </a:stretch>
                  </pic:blipFill>
                  <pic:spPr>
                    <a:xfrm>
                      <a:off x="0" y="0"/>
                      <a:ext cx="2545715" cy="1847850"/>
                    </a:xfrm>
                    <a:prstGeom prst="rect">
                      <a:avLst/>
                    </a:prstGeom>
                    <a:noFill/>
                    <a:ln>
                      <a:noFill/>
                    </a:ln>
                  </pic:spPr>
                </pic:pic>
              </a:graphicData>
            </a:graphic>
          </wp:inline>
        </w:drawing>
      </w:r>
    </w:p>
    <w:p>
      <w:pPr>
        <w:pStyle w:val="30"/>
        <w:keepNext w:val="0"/>
        <w:keepLines w:val="0"/>
        <w:pageBreakBefore w:val="0"/>
        <w:widowControl/>
        <w:kinsoku/>
        <w:wordWrap/>
        <w:overflowPunct/>
        <w:topLinePunct w:val="0"/>
        <w:autoSpaceDE/>
        <w:autoSpaceDN/>
        <w:bidi w:val="0"/>
        <w:adjustRightInd/>
        <w:snapToGrid/>
        <w:ind w:left="0" w:firstLine="0" w:firstLineChars="0"/>
        <w:jc w:val="center"/>
        <w:textAlignment w:val="auto"/>
        <w:rPr>
          <w:rFonts w:hint="eastAsia"/>
          <w:color w:val="auto"/>
          <w:lang w:val="en-US" w:eastAsia="zh-CN"/>
        </w:rPr>
      </w:pPr>
      <w:r>
        <w:rPr>
          <w:rFonts w:hint="eastAsia"/>
          <w:color w:val="auto"/>
          <w:lang w:val="en-US" w:eastAsia="zh-CN"/>
        </w:rPr>
        <w:t xml:space="preserve"> </w:t>
      </w:r>
      <w:r>
        <w:rPr>
          <w:rFonts w:hint="eastAsia"/>
          <w:color w:val="auto"/>
          <w:lang w:eastAsia="zh-CN"/>
        </w:rPr>
        <w:t>图</w:t>
      </w:r>
      <w:r>
        <w:rPr>
          <w:rFonts w:hint="eastAsia"/>
          <w:color w:val="auto"/>
          <w:lang w:val="en-US" w:eastAsia="zh-CN"/>
        </w:rPr>
        <w:t xml:space="preserve">16.2-8 </w:t>
      </w:r>
      <w:r>
        <w:rPr>
          <w:rFonts w:hint="eastAsia"/>
          <w:color w:val="auto"/>
          <w:lang w:eastAsia="zh-CN"/>
        </w:rPr>
        <w:t>凤二村古树</w:t>
      </w:r>
      <w:r>
        <w:rPr>
          <w:rFonts w:hint="eastAsia"/>
          <w:color w:val="auto"/>
          <w:lang w:val="en-US" w:eastAsia="zh-CN"/>
        </w:rPr>
        <w:t xml:space="preserve">4                   </w:t>
      </w:r>
      <w:r>
        <w:rPr>
          <w:rFonts w:hint="eastAsia"/>
          <w:color w:val="auto"/>
          <w:lang w:eastAsia="zh-CN"/>
        </w:rPr>
        <w:t>图</w:t>
      </w:r>
      <w:r>
        <w:rPr>
          <w:rFonts w:hint="eastAsia"/>
          <w:color w:val="auto"/>
          <w:lang w:val="en-US" w:eastAsia="zh-CN"/>
        </w:rPr>
        <w:t xml:space="preserve">16.2-9 </w:t>
      </w:r>
      <w:r>
        <w:rPr>
          <w:rFonts w:hint="eastAsia"/>
          <w:color w:val="auto"/>
          <w:lang w:eastAsia="zh-CN"/>
        </w:rPr>
        <w:t>凤二村古树</w:t>
      </w:r>
      <w:r>
        <w:rPr>
          <w:rFonts w:hint="eastAsia"/>
          <w:color w:val="auto"/>
          <w:lang w:val="en-US" w:eastAsia="zh-CN"/>
        </w:rPr>
        <w:t>5</w:t>
      </w:r>
    </w:p>
    <w:p>
      <w:pPr>
        <w:pStyle w:val="40"/>
        <w:numPr>
          <w:ilvl w:val="2"/>
          <w:numId w:val="9"/>
        </w:numPr>
        <w:rPr>
          <w:rFonts w:hint="eastAsia" w:cs="宋体" w:asciiTheme="minorEastAsia" w:hAnsiTheme="minorEastAsia" w:eastAsiaTheme="minorEastAsia"/>
          <w:color w:val="auto"/>
          <w:sz w:val="28"/>
          <w:szCs w:val="28"/>
          <w:lang w:val="en-US" w:eastAsia="zh-CN"/>
        </w:rPr>
      </w:pPr>
      <w:r>
        <w:rPr>
          <w:rFonts w:hint="eastAsia" w:cs="宋体" w:asciiTheme="minorEastAsia" w:hAnsiTheme="minorEastAsia" w:eastAsiaTheme="minorEastAsia"/>
          <w:color w:val="auto"/>
          <w:sz w:val="28"/>
          <w:szCs w:val="28"/>
          <w:lang w:val="en-US" w:eastAsia="zh-CN"/>
        </w:rPr>
        <w:t>古树后续资源</w:t>
      </w:r>
    </w:p>
    <w:p>
      <w:pPr>
        <w:rPr>
          <w:rFonts w:hint="eastAsia" w:ascii="Times New Roman" w:hAnsi="Times New Roman" w:eastAsia="宋体" w:cs="Times New Roman"/>
          <w:color w:val="auto"/>
          <w:sz w:val="24"/>
          <w:szCs w:val="21"/>
          <w:highlight w:val="none"/>
          <w:lang w:val="en-US" w:eastAsia="zh-CN"/>
        </w:rPr>
      </w:pPr>
      <w:r>
        <w:rPr>
          <w:rFonts w:hint="eastAsia" w:ascii="Times New Roman" w:hAnsi="Times New Roman" w:eastAsia="宋体" w:cs="Times New Roman"/>
          <w:color w:val="auto"/>
          <w:sz w:val="24"/>
          <w:szCs w:val="21"/>
          <w:highlight w:val="none"/>
          <w:lang w:val="en-US" w:eastAsia="zh-CN"/>
        </w:rPr>
        <w:t>根据《广州市树木保护工作指引(试行)》（穗林业园林规（2021)152 号)，广州市行政区域内的树木保护对象主要包括胸径20cm以上80cm以下的树木(以下简称大树)及树龄在八十年以上不足一百年的树木以及胸径八十厘米以上的树木(以下简称古树后续资源)。通过现场实地调研，本项目工程范围内存在树木较多，但多为位于道路边、居民区内，本工程所建设管道为</w:t>
      </w:r>
      <w:r>
        <w:rPr>
          <w:rFonts w:hint="eastAsia" w:ascii="Times New Roman" w:hAnsi="Times New Roman" w:cs="Times New Roman"/>
          <w:color w:val="auto"/>
          <w:sz w:val="24"/>
          <w:szCs w:val="21"/>
          <w:highlight w:val="none"/>
          <w:lang w:val="en-US" w:eastAsia="zh-CN"/>
        </w:rPr>
        <w:t>排</w:t>
      </w:r>
      <w:r>
        <w:rPr>
          <w:rFonts w:hint="eastAsia" w:ascii="Times New Roman" w:hAnsi="Times New Roman" w:eastAsia="宋体" w:cs="Times New Roman"/>
          <w:color w:val="auto"/>
          <w:sz w:val="24"/>
          <w:szCs w:val="21"/>
          <w:highlight w:val="none"/>
          <w:lang w:val="en-US" w:eastAsia="zh-CN"/>
        </w:rPr>
        <w:t>水管道，</w:t>
      </w:r>
      <w:r>
        <w:rPr>
          <w:rFonts w:hint="eastAsia" w:ascii="Times New Roman" w:hAnsi="Times New Roman" w:cs="Times New Roman"/>
          <w:color w:val="auto"/>
          <w:sz w:val="24"/>
          <w:szCs w:val="21"/>
          <w:highlight w:val="none"/>
          <w:lang w:val="en-US" w:eastAsia="zh-CN"/>
        </w:rPr>
        <w:t>管道敷设于道路中间，距离树木较远</w:t>
      </w:r>
      <w:r>
        <w:rPr>
          <w:rFonts w:hint="eastAsia" w:ascii="Times New Roman" w:hAnsi="Times New Roman" w:eastAsia="宋体" w:cs="Times New Roman"/>
          <w:color w:val="auto"/>
          <w:sz w:val="24"/>
          <w:szCs w:val="21"/>
          <w:highlight w:val="none"/>
          <w:lang w:val="en-US" w:eastAsia="zh-CN"/>
        </w:rPr>
        <w:t>，建设时不需要对齐进行砍伐、迁移、保护等工程措施，故本次设计仅对数量进行统计，工程范围内共有胸径20~80cm羊蹄甲213棵。</w:t>
      </w:r>
    </w:p>
    <w:p>
      <w:pPr>
        <w:pStyle w:val="39"/>
        <w:numPr>
          <w:ilvl w:val="1"/>
          <w:numId w:val="19"/>
        </w:numPr>
        <w:rPr>
          <w:rFonts w:hint="eastAsia" w:ascii="宋体" w:hAnsi="宋体" w:eastAsia="宋体" w:cs="宋体"/>
          <w:color w:val="auto"/>
          <w:lang w:val="en-US" w:eastAsia="zh-CN"/>
        </w:rPr>
      </w:pPr>
      <w:bookmarkStart w:id="245" w:name="_Toc11229"/>
      <w:bookmarkStart w:id="246" w:name="_Toc21646"/>
      <w:bookmarkStart w:id="247" w:name="_Toc21701"/>
      <w:bookmarkStart w:id="248" w:name="_Toc10234"/>
      <w:r>
        <w:rPr>
          <w:rFonts w:hint="eastAsia" w:ascii="宋体" w:hAnsi="宋体" w:eastAsia="宋体" w:cs="宋体"/>
          <w:color w:val="auto"/>
          <w:lang w:val="en-US" w:eastAsia="zh-CN"/>
        </w:rPr>
        <w:t>树木保护措施</w:t>
      </w:r>
      <w:bookmarkEnd w:id="245"/>
      <w:bookmarkEnd w:id="246"/>
    </w:p>
    <w:p>
      <w:pPr>
        <w:pStyle w:val="40"/>
        <w:numPr>
          <w:ilvl w:val="2"/>
          <w:numId w:val="9"/>
        </w:numPr>
        <w:rPr>
          <w:rFonts w:hint="eastAsia" w:cs="宋体" w:asciiTheme="minorEastAsia" w:hAnsiTheme="minorEastAsia" w:eastAsiaTheme="minorEastAsia"/>
          <w:color w:val="auto"/>
          <w:sz w:val="28"/>
          <w:szCs w:val="28"/>
          <w:lang w:val="en-US" w:eastAsia="zh-CN"/>
        </w:rPr>
      </w:pPr>
      <w:r>
        <w:rPr>
          <w:rFonts w:hint="eastAsia" w:cs="宋体" w:asciiTheme="minorEastAsia" w:hAnsiTheme="minorEastAsia" w:eastAsiaTheme="minorEastAsia"/>
          <w:color w:val="auto"/>
          <w:sz w:val="28"/>
          <w:szCs w:val="28"/>
          <w:lang w:val="en-US" w:eastAsia="zh-CN"/>
        </w:rPr>
        <w:t>现有绿地</w:t>
      </w:r>
    </w:p>
    <w:p>
      <w:pPr>
        <w:rPr>
          <w:rFonts w:hint="eastAsia"/>
          <w:color w:val="auto"/>
          <w:lang w:val="en-US" w:eastAsia="zh-CN"/>
        </w:rPr>
      </w:pPr>
      <w:r>
        <w:rPr>
          <w:rFonts w:hint="eastAsia"/>
          <w:color w:val="auto"/>
          <w:lang w:val="en-US" w:eastAsia="zh-CN"/>
        </w:rPr>
        <w:t>（1）尽量减少占用施工范围内绿地。</w:t>
      </w:r>
    </w:p>
    <w:p>
      <w:pPr>
        <w:rPr>
          <w:rFonts w:hint="eastAsia"/>
          <w:color w:val="auto"/>
          <w:lang w:val="en-US" w:eastAsia="zh-CN"/>
        </w:rPr>
      </w:pPr>
      <w:r>
        <w:rPr>
          <w:rFonts w:hint="eastAsia"/>
          <w:color w:val="auto"/>
          <w:lang w:val="en-US" w:eastAsia="zh-CN"/>
        </w:rPr>
        <w:t>（2）对邻近施工的绿地表面进行覆盖。</w:t>
      </w:r>
    </w:p>
    <w:p>
      <w:pPr>
        <w:rPr>
          <w:rFonts w:hint="eastAsia"/>
          <w:color w:val="auto"/>
          <w:lang w:val="en-US" w:eastAsia="zh-CN"/>
        </w:rPr>
      </w:pPr>
      <w:r>
        <w:rPr>
          <w:rFonts w:hint="eastAsia"/>
          <w:color w:val="auto"/>
          <w:lang w:val="en-US" w:eastAsia="zh-CN"/>
        </w:rPr>
        <w:t>（3）对施工范围内的树木进行围护保护。</w:t>
      </w:r>
    </w:p>
    <w:p>
      <w:pPr>
        <w:rPr>
          <w:rFonts w:hint="eastAsia"/>
          <w:color w:val="auto"/>
          <w:lang w:val="en-US" w:eastAsia="zh-CN"/>
        </w:rPr>
      </w:pPr>
      <w:r>
        <w:rPr>
          <w:rFonts w:hint="eastAsia"/>
          <w:color w:val="auto"/>
          <w:lang w:val="en-US" w:eastAsia="zh-CN"/>
        </w:rPr>
        <w:t>（4）设专人监护施工车辆，禁止碾压施工范围内的绿地。</w:t>
      </w:r>
    </w:p>
    <w:p>
      <w:pPr>
        <w:rPr>
          <w:rFonts w:hint="default" w:eastAsia="宋体"/>
          <w:color w:val="auto"/>
          <w:lang w:val="en-US" w:eastAsia="zh-CN"/>
        </w:rPr>
      </w:pPr>
      <w:r>
        <w:rPr>
          <w:rFonts w:hint="eastAsia" w:eastAsia="宋体"/>
          <w:color w:val="auto"/>
          <w:lang w:val="en-US" w:eastAsia="zh-CN"/>
        </w:rPr>
        <w:t>（5）对于围挡等临时占用现状绿地，施工完后需将绿地恢复原样。</w:t>
      </w:r>
    </w:p>
    <w:p>
      <w:pPr>
        <w:pStyle w:val="40"/>
        <w:numPr>
          <w:ilvl w:val="2"/>
          <w:numId w:val="9"/>
        </w:numPr>
        <w:rPr>
          <w:rFonts w:hint="eastAsia" w:cs="宋体" w:asciiTheme="minorEastAsia" w:hAnsiTheme="minorEastAsia" w:eastAsiaTheme="minorEastAsia"/>
          <w:color w:val="auto"/>
          <w:sz w:val="28"/>
          <w:szCs w:val="28"/>
          <w:lang w:val="en-US" w:eastAsia="zh-CN"/>
        </w:rPr>
      </w:pPr>
      <w:r>
        <w:rPr>
          <w:rFonts w:hint="eastAsia" w:cs="宋体" w:asciiTheme="minorEastAsia" w:hAnsiTheme="minorEastAsia" w:eastAsiaTheme="minorEastAsia"/>
          <w:color w:val="auto"/>
          <w:sz w:val="28"/>
          <w:szCs w:val="28"/>
          <w:lang w:val="en-US" w:eastAsia="zh-CN"/>
        </w:rPr>
        <w:t>古树名木</w:t>
      </w:r>
    </w:p>
    <w:p>
      <w:pPr>
        <w:rPr>
          <w:rFonts w:hint="eastAsia" w:eastAsia="宋体" w:cs="宋体"/>
          <w:color w:val="auto"/>
          <w:sz w:val="28"/>
          <w:szCs w:val="21"/>
          <w:lang w:val="en-US" w:eastAsia="zh-CN"/>
        </w:rPr>
      </w:pPr>
      <w:r>
        <w:rPr>
          <w:rFonts w:hint="eastAsia" w:eastAsia="宋体" w:cs="宋体"/>
          <w:color w:val="auto"/>
          <w:sz w:val="28"/>
          <w:szCs w:val="21"/>
          <w:lang w:val="en-US" w:eastAsia="zh-CN"/>
        </w:rPr>
        <w:t>（1）设计上，避开古树名木的垂直投影 5 米的范围，局部用地局促处满足最少3米的间距。</w:t>
      </w:r>
    </w:p>
    <w:p>
      <w:pPr>
        <w:rPr>
          <w:rFonts w:hint="eastAsia" w:eastAsia="宋体" w:cs="宋体"/>
          <w:color w:val="auto"/>
          <w:sz w:val="28"/>
          <w:szCs w:val="21"/>
          <w:lang w:val="en-US" w:eastAsia="zh-CN"/>
        </w:rPr>
      </w:pPr>
      <w:r>
        <w:rPr>
          <w:rFonts w:hint="eastAsia" w:eastAsia="宋体" w:cs="宋体"/>
          <w:color w:val="auto"/>
          <w:sz w:val="28"/>
          <w:szCs w:val="21"/>
          <w:lang w:val="en-US" w:eastAsia="zh-CN"/>
        </w:rPr>
        <w:t>（2）现状局部待拆迁建筑已在古树垂直投影范围内的，在拆迁施工中应精细作业，投影范围内的建筑基础应尽量保持原状，仅将地上部分拆除，保证不在拆迁过程中破坏古树根系，影响正常生长。</w:t>
      </w:r>
    </w:p>
    <w:p>
      <w:pPr>
        <w:rPr>
          <w:rFonts w:hint="eastAsia" w:eastAsia="宋体" w:cs="宋体"/>
          <w:color w:val="auto"/>
          <w:sz w:val="28"/>
          <w:szCs w:val="21"/>
          <w:lang w:val="en-US" w:eastAsia="zh-CN"/>
        </w:rPr>
      </w:pPr>
      <w:r>
        <w:rPr>
          <w:rFonts w:hint="eastAsia" w:eastAsia="宋体" w:cs="宋体"/>
          <w:color w:val="auto"/>
          <w:sz w:val="28"/>
          <w:szCs w:val="21"/>
          <w:lang w:val="en-US" w:eastAsia="zh-CN"/>
        </w:rPr>
        <w:t>（3）保护生态环境。古树一般在某一环境生活了千百年，适应了当地的生态环境，所以，不要随便搬迁，也不应在古树周围修建房屋、挖土、倾倒垃圾、污水等。</w:t>
      </w:r>
    </w:p>
    <w:p>
      <w:pPr>
        <w:rPr>
          <w:rFonts w:hint="eastAsia" w:eastAsia="宋体" w:cs="宋体"/>
          <w:color w:val="auto"/>
          <w:sz w:val="28"/>
          <w:szCs w:val="21"/>
          <w:lang w:val="en-US" w:eastAsia="zh-CN"/>
        </w:rPr>
      </w:pPr>
      <w:r>
        <w:rPr>
          <w:rFonts w:hint="eastAsia" w:eastAsia="宋体" w:cs="宋体"/>
          <w:color w:val="auto"/>
          <w:sz w:val="28"/>
          <w:szCs w:val="21"/>
          <w:lang w:val="en-US" w:eastAsia="zh-CN"/>
        </w:rPr>
        <w:t>（4）成立专门的古树保护责任小组，落实小组各成员责任。</w:t>
      </w:r>
    </w:p>
    <w:p>
      <w:pPr>
        <w:rPr>
          <w:rFonts w:hint="default" w:eastAsia="宋体" w:cs="宋体"/>
          <w:color w:val="auto"/>
          <w:sz w:val="28"/>
          <w:szCs w:val="21"/>
          <w:lang w:val="en-US" w:eastAsia="zh-CN"/>
        </w:rPr>
      </w:pPr>
      <w:r>
        <w:rPr>
          <w:rFonts w:hint="eastAsia" w:eastAsia="宋体" w:cs="宋体"/>
          <w:color w:val="auto"/>
          <w:sz w:val="28"/>
          <w:szCs w:val="21"/>
          <w:lang w:val="en-US" w:eastAsia="zh-CN"/>
        </w:rPr>
        <w:t>（5）勘察现场，结合图纸，找出红线范围内所有古树名木，并核实古树名木信息，做好记录，留好影响资料。对未挂牌的胸径超过 30cm 的大树，也应做好明显标识，悬挂大树标识牌。并对古树名木和保留大树做好编号，统一管理。</w:t>
      </w:r>
    </w:p>
    <w:p>
      <w:pPr>
        <w:rPr>
          <w:rFonts w:hint="eastAsia" w:eastAsia="宋体" w:cs="宋体"/>
          <w:color w:val="auto"/>
          <w:sz w:val="28"/>
          <w:szCs w:val="21"/>
          <w:lang w:val="en-US" w:eastAsia="zh-CN"/>
        </w:rPr>
      </w:pPr>
      <w:r>
        <w:rPr>
          <w:rFonts w:hint="eastAsia" w:eastAsia="宋体" w:cs="宋体"/>
          <w:color w:val="auto"/>
          <w:sz w:val="28"/>
          <w:szCs w:val="21"/>
          <w:lang w:val="en-US" w:eastAsia="zh-CN"/>
        </w:rPr>
        <w:t>（6）在古树名木区域的施工过程中需林业局古树名木保护专业人员在现场提供技术指导，施工图中与古树名木相关图纸需经过专业人员确认后方可施工，若存在施工图与古树名木保护原则不符的情况，宜根据专业人员意见进行现场调整。</w:t>
      </w:r>
    </w:p>
    <w:p>
      <w:pPr>
        <w:rPr>
          <w:rFonts w:hint="eastAsia" w:eastAsia="宋体" w:cs="宋体"/>
          <w:color w:val="auto"/>
          <w:sz w:val="28"/>
          <w:szCs w:val="21"/>
          <w:lang w:val="en-US" w:eastAsia="zh-CN"/>
        </w:rPr>
      </w:pPr>
      <w:r>
        <w:rPr>
          <w:rFonts w:hint="eastAsia" w:eastAsia="宋体" w:cs="宋体"/>
          <w:color w:val="auto"/>
          <w:sz w:val="28"/>
          <w:szCs w:val="21"/>
          <w:lang w:val="en-US" w:eastAsia="zh-CN"/>
        </w:rPr>
        <w:t>（7）施工过程中，施工现场的古树名木应设置保护围栏，围栏与树干距离不得少于 5米，特殊立地条件无法达到 2米的，以人摸不到树干为最低要求。围栏采用网格式围栏，高度 1.3 米，围栏上悬挂安全、警示、宣传标语围栏内土壤表面可种植三叶草等豆科植物，以保持土壤湿润、透气。并应根据不同树种对水分的不同要求进行浇水或排水。</w:t>
      </w:r>
    </w:p>
    <w:p>
      <w:pPr>
        <w:rPr>
          <w:rFonts w:hint="eastAsia" w:eastAsia="宋体" w:cs="宋体"/>
          <w:color w:val="auto"/>
          <w:sz w:val="28"/>
          <w:szCs w:val="21"/>
          <w:lang w:val="en-US" w:eastAsia="zh-CN"/>
        </w:rPr>
      </w:pPr>
      <w:r>
        <w:rPr>
          <w:rFonts w:hint="eastAsia" w:eastAsia="宋体" w:cs="宋体"/>
          <w:color w:val="auto"/>
          <w:sz w:val="28"/>
          <w:szCs w:val="21"/>
          <w:lang w:val="en-US" w:eastAsia="zh-CN"/>
        </w:rPr>
        <w:t>（8）在测定土壤元素含量的情况下进行科学施肥。</w:t>
      </w:r>
    </w:p>
    <w:p>
      <w:pPr>
        <w:rPr>
          <w:rFonts w:hint="eastAsia" w:eastAsia="宋体" w:cs="宋体"/>
          <w:color w:val="auto"/>
          <w:sz w:val="28"/>
          <w:szCs w:val="21"/>
          <w:lang w:val="en-US" w:eastAsia="zh-CN"/>
        </w:rPr>
      </w:pPr>
      <w:r>
        <w:rPr>
          <w:rFonts w:hint="eastAsia" w:eastAsia="宋体" w:cs="宋体"/>
          <w:color w:val="auto"/>
          <w:sz w:val="28"/>
          <w:szCs w:val="21"/>
          <w:lang w:val="en-US" w:eastAsia="zh-CN"/>
        </w:rPr>
        <w:t>（9）古树名木周围应严禁烟火，并制定处罚措施。</w:t>
      </w:r>
    </w:p>
    <w:p>
      <w:pPr>
        <w:rPr>
          <w:rFonts w:hint="eastAsia" w:eastAsia="宋体" w:cs="宋体"/>
          <w:color w:val="auto"/>
          <w:sz w:val="28"/>
          <w:szCs w:val="21"/>
          <w:lang w:val="en-US" w:eastAsia="zh-CN"/>
        </w:rPr>
      </w:pPr>
      <w:r>
        <w:rPr>
          <w:rFonts w:hint="eastAsia" w:eastAsia="宋体" w:cs="宋体"/>
          <w:color w:val="auto"/>
          <w:sz w:val="28"/>
          <w:szCs w:val="21"/>
          <w:lang w:val="en-US" w:eastAsia="zh-CN"/>
        </w:rPr>
        <w:t>（10）抵御自然灾害。古树一般树身高大，雷雨时极易遭雷击，所以，在较高大的古树上要安装避雷针，以免雷电击伤树木。对树木空朽、树冠生长不均衡、有偏重现象的树木，应在树干一定部位撑三角架进行保护。此外，应定期检查树木的生长情况，及时截去枯枝，保持树冠的完整性。</w:t>
      </w:r>
    </w:p>
    <w:p>
      <w:pPr>
        <w:rPr>
          <w:rFonts w:hint="eastAsia" w:eastAsia="宋体" w:cs="宋体"/>
          <w:color w:val="auto"/>
          <w:sz w:val="28"/>
          <w:szCs w:val="21"/>
          <w:lang w:val="en-US" w:eastAsia="zh-CN"/>
        </w:rPr>
      </w:pPr>
      <w:r>
        <w:rPr>
          <w:rFonts w:hint="eastAsia" w:eastAsia="宋体" w:cs="宋体"/>
          <w:color w:val="auto"/>
          <w:sz w:val="28"/>
          <w:szCs w:val="21"/>
          <w:lang w:val="en-US" w:eastAsia="zh-CN"/>
        </w:rPr>
        <w:t>（11）广泛宣传保护古树名木的重要性。因为古树名木分布广泛、树种多光靠业务部门的保护和管理是不够的，应大力宣传保护古树名木的重要性，大力宣传古树名木的生态、科研、旅游、观赏和文化价值，提高公众爱护、保护古树名木的意识，依靠全社会的力量对古树名木进行监管和保护。提高广大群众对古树名木的知情权、监督权和保护权使保护古树、珍爱绿色成为人民群众的自觉行动。</w:t>
      </w:r>
    </w:p>
    <w:p>
      <w:pPr>
        <w:rPr>
          <w:rFonts w:hint="eastAsia" w:eastAsia="宋体" w:cs="宋体"/>
          <w:color w:val="auto"/>
          <w:sz w:val="28"/>
          <w:szCs w:val="21"/>
          <w:lang w:val="en-US" w:eastAsia="zh-CN"/>
        </w:rPr>
      </w:pPr>
      <w:r>
        <w:rPr>
          <w:rFonts w:hint="eastAsia" w:eastAsia="宋体" w:cs="宋体"/>
          <w:color w:val="auto"/>
          <w:sz w:val="28"/>
          <w:szCs w:val="21"/>
          <w:lang w:val="en-US" w:eastAsia="zh-CN"/>
        </w:rPr>
        <w:t>（12）加强法制建设，依法保护古树名木。根据《中华人民共和国森林法》国务院《城市园林绿化条例》及全国绿化委员会《关于加强保护古树名木的决定》等法律、法规和文件规定，因地制宜制定本地的有关古树名木的规章制度。同时要加大执法力度，采取有效措施,严厉打击各种破坏古树名木的违法活动,使古树名木的保护和管理工作走上法制化、规范化轨道。</w:t>
      </w:r>
    </w:p>
    <w:p>
      <w:pPr>
        <w:pStyle w:val="39"/>
        <w:numPr>
          <w:ilvl w:val="1"/>
          <w:numId w:val="19"/>
        </w:numPr>
        <w:rPr>
          <w:rFonts w:hint="eastAsia" w:ascii="宋体" w:hAnsi="宋体" w:eastAsia="宋体" w:cs="宋体"/>
          <w:color w:val="auto"/>
          <w:lang w:val="en-US" w:eastAsia="zh-CN"/>
        </w:rPr>
      </w:pPr>
      <w:bookmarkStart w:id="249" w:name="_Toc13642"/>
      <w:r>
        <w:rPr>
          <w:rFonts w:hint="eastAsia" w:ascii="宋体" w:hAnsi="宋体" w:eastAsia="宋体" w:cs="宋体"/>
          <w:color w:val="auto"/>
          <w:lang w:val="en-US" w:eastAsia="zh-CN"/>
        </w:rPr>
        <w:t>树木处理原则</w:t>
      </w:r>
      <w:bookmarkEnd w:id="247"/>
      <w:bookmarkEnd w:id="248"/>
      <w:bookmarkEnd w:id="249"/>
    </w:p>
    <w:p>
      <w:pPr>
        <w:numPr>
          <w:ilvl w:val="0"/>
          <w:numId w:val="40"/>
        </w:numPr>
        <w:rPr>
          <w:rFonts w:hint="eastAsia" w:ascii="宋体" w:hAnsi="宋体" w:eastAsia="宋体" w:cs="宋体"/>
          <w:color w:val="auto"/>
          <w:lang w:val="en-US" w:eastAsia="zh-CN"/>
        </w:rPr>
      </w:pPr>
      <w:r>
        <w:rPr>
          <w:rFonts w:hint="eastAsia" w:ascii="宋体" w:hAnsi="宋体" w:eastAsia="宋体" w:cs="宋体"/>
          <w:color w:val="auto"/>
          <w:lang w:val="en-US" w:eastAsia="zh-CN"/>
        </w:rPr>
        <w:t>树木资源保护原则</w:t>
      </w:r>
    </w:p>
    <w:p>
      <w:pPr>
        <w:numPr>
          <w:ilvl w:val="0"/>
          <w:numId w:val="0"/>
        </w:numPr>
        <w:ind w:firstLine="564" w:firstLineChars="200"/>
        <w:rPr>
          <w:rFonts w:hint="eastAsia" w:ascii="宋体" w:hAnsi="宋体" w:eastAsia="宋体" w:cs="宋体"/>
          <w:color w:val="auto"/>
          <w:lang w:val="en-US" w:eastAsia="zh-CN"/>
        </w:rPr>
      </w:pPr>
      <w:r>
        <w:rPr>
          <w:rFonts w:hint="eastAsia" w:ascii="宋体" w:hAnsi="宋体" w:eastAsia="宋体" w:cs="宋体"/>
          <w:color w:val="auto"/>
          <w:lang w:val="en-US" w:eastAsia="zh-CN"/>
        </w:rPr>
        <w:t>城市树木处理应优先选择就近迁移利用</w:t>
      </w:r>
      <w:r>
        <w:rPr>
          <w:rFonts w:hint="eastAsia" w:ascii="宋体" w:hAnsi="宋体" w:eastAsia="宋体" w:cs="宋体"/>
          <w:color w:val="auto"/>
          <w:sz w:val="28"/>
          <w:szCs w:val="28"/>
        </w:rPr>
        <w:t>，减少砍伐移除，最大化发挥树木资源的再利用价值，防止树木资源的流失，保护树木资源。</w:t>
      </w:r>
    </w:p>
    <w:p>
      <w:pPr>
        <w:numPr>
          <w:ilvl w:val="0"/>
          <w:numId w:val="40"/>
        </w:numPr>
        <w:rPr>
          <w:rFonts w:hint="eastAsia" w:ascii="宋体" w:hAnsi="宋体" w:eastAsia="宋体" w:cs="宋体"/>
          <w:color w:val="auto"/>
          <w:lang w:val="en-US" w:eastAsia="zh-CN"/>
        </w:rPr>
      </w:pPr>
      <w:r>
        <w:rPr>
          <w:rFonts w:hint="eastAsia" w:ascii="宋体" w:hAnsi="宋体" w:eastAsia="宋体" w:cs="宋体"/>
          <w:color w:val="auto"/>
          <w:lang w:val="en-US" w:eastAsia="zh-CN"/>
        </w:rPr>
        <w:t>安全性原则</w:t>
      </w:r>
    </w:p>
    <w:p>
      <w:pPr>
        <w:numPr>
          <w:ilvl w:val="0"/>
          <w:numId w:val="0"/>
        </w:numPr>
        <w:ind w:firstLine="564" w:firstLineChars="200"/>
        <w:rPr>
          <w:rFonts w:hint="eastAsia" w:ascii="宋体" w:hAnsi="宋体" w:eastAsia="宋体" w:cs="宋体"/>
          <w:color w:val="auto"/>
          <w:lang w:val="en-US" w:eastAsia="zh-CN"/>
        </w:rPr>
      </w:pPr>
      <w:r>
        <w:rPr>
          <w:rFonts w:hint="eastAsia" w:ascii="宋体" w:hAnsi="宋体" w:eastAsia="宋体" w:cs="宋体"/>
          <w:color w:val="auto"/>
          <w:lang w:val="en-US" w:eastAsia="zh-CN"/>
        </w:rPr>
        <w:t>城市树木处理应考量树木自身的安全风险情况，以及施工作业对树木地下和周边地下管线、桥梁、隧道及其他市政基础设施安全性的影响，保障树木周边建筑物、桥梁、隧道基础稳定及地下管线的安全运行。</w:t>
      </w:r>
    </w:p>
    <w:p>
      <w:pPr>
        <w:numPr>
          <w:ilvl w:val="0"/>
          <w:numId w:val="40"/>
        </w:numPr>
        <w:rPr>
          <w:rFonts w:hint="eastAsia" w:ascii="宋体" w:hAnsi="宋体" w:eastAsia="宋体" w:cs="宋体"/>
          <w:color w:val="auto"/>
          <w:lang w:val="en-US" w:eastAsia="zh-CN"/>
        </w:rPr>
      </w:pPr>
      <w:r>
        <w:rPr>
          <w:rFonts w:hint="eastAsia" w:ascii="宋体" w:hAnsi="宋体" w:eastAsia="宋体" w:cs="宋体"/>
          <w:color w:val="auto"/>
          <w:lang w:val="en-US" w:eastAsia="zh-CN"/>
        </w:rPr>
        <w:t>减少社会影响原则</w:t>
      </w:r>
    </w:p>
    <w:p>
      <w:pPr>
        <w:numPr>
          <w:ilvl w:val="0"/>
          <w:numId w:val="0"/>
        </w:numPr>
        <w:ind w:firstLine="564" w:firstLineChars="200"/>
        <w:rPr>
          <w:rFonts w:hint="eastAsia" w:ascii="宋体" w:hAnsi="宋体" w:eastAsia="宋体" w:cs="宋体"/>
          <w:color w:val="auto"/>
          <w:lang w:val="en-US" w:eastAsia="zh-CN"/>
        </w:rPr>
      </w:pPr>
      <w:r>
        <w:rPr>
          <w:rFonts w:hint="eastAsia" w:ascii="宋体" w:hAnsi="宋体" w:eastAsia="宋体" w:cs="宋体"/>
          <w:color w:val="auto"/>
          <w:lang w:val="en-US" w:eastAsia="zh-CN"/>
        </w:rPr>
        <w:t>城市树木处理应避免在正常工作学习时段、交通高峰时段进行施工以及占用较大面积道路空间，减少施工对城市交通秩序和周边市民生活造成的负面影响，保障城市正常交通秩序和周边市民正常生活。</w:t>
      </w:r>
    </w:p>
    <w:p>
      <w:pPr>
        <w:numPr>
          <w:ilvl w:val="0"/>
          <w:numId w:val="40"/>
        </w:numPr>
        <w:rPr>
          <w:rFonts w:hint="eastAsia" w:ascii="宋体" w:hAnsi="宋体" w:eastAsia="宋体" w:cs="宋体"/>
          <w:color w:val="auto"/>
          <w:lang w:val="en-US" w:eastAsia="zh-CN"/>
        </w:rPr>
      </w:pPr>
      <w:r>
        <w:rPr>
          <w:rFonts w:hint="eastAsia" w:ascii="宋体" w:hAnsi="宋体" w:eastAsia="宋体" w:cs="宋体"/>
          <w:color w:val="auto"/>
          <w:lang w:val="en-US" w:eastAsia="zh-CN"/>
        </w:rPr>
        <w:t>经济性原则</w:t>
      </w:r>
    </w:p>
    <w:p>
      <w:pPr>
        <w:numPr>
          <w:ilvl w:val="0"/>
          <w:numId w:val="0"/>
        </w:numPr>
        <w:ind w:firstLine="564" w:firstLineChars="200"/>
        <w:rPr>
          <w:rFonts w:hint="eastAsia" w:ascii="宋体" w:hAnsi="宋体" w:eastAsia="宋体" w:cs="宋体"/>
          <w:color w:val="auto"/>
          <w:lang w:val="en-US" w:eastAsia="zh-CN"/>
        </w:rPr>
      </w:pPr>
      <w:r>
        <w:rPr>
          <w:rFonts w:hint="eastAsia" w:ascii="宋体" w:hAnsi="宋体" w:eastAsia="宋体" w:cs="宋体"/>
          <w:color w:val="auto"/>
          <w:lang w:val="en-US" w:eastAsia="zh-CN"/>
        </w:rPr>
        <w:t>城市树木处理应考量树木价值和处理方式的必要成本费用，釆取经济合理的处理方式。</w:t>
      </w:r>
    </w:p>
    <w:p>
      <w:pPr>
        <w:numPr>
          <w:ilvl w:val="0"/>
          <w:numId w:val="40"/>
        </w:numPr>
        <w:rPr>
          <w:rFonts w:hint="eastAsia" w:ascii="宋体" w:hAnsi="宋体" w:eastAsia="宋体" w:cs="宋体"/>
          <w:color w:val="auto"/>
          <w:lang w:val="en-US" w:eastAsia="zh-CN"/>
        </w:rPr>
      </w:pPr>
      <w:r>
        <w:rPr>
          <w:rFonts w:hint="eastAsia" w:ascii="宋体" w:hAnsi="宋体" w:eastAsia="宋体" w:cs="宋体"/>
          <w:color w:val="auto"/>
          <w:lang w:val="en-US" w:eastAsia="zh-CN"/>
        </w:rPr>
        <w:t>综合考量原则</w:t>
      </w:r>
    </w:p>
    <w:p>
      <w:pPr>
        <w:numPr>
          <w:ilvl w:val="0"/>
          <w:numId w:val="0"/>
        </w:numPr>
        <w:ind w:firstLine="564" w:firstLineChars="200"/>
        <w:rPr>
          <w:rFonts w:hint="eastAsia" w:ascii="宋体" w:hAnsi="宋体" w:eastAsia="宋体" w:cs="宋体"/>
          <w:color w:val="auto"/>
          <w:lang w:val="en-US" w:eastAsia="zh-CN"/>
        </w:rPr>
      </w:pPr>
      <w:r>
        <w:rPr>
          <w:rFonts w:hint="eastAsia" w:ascii="宋体" w:hAnsi="宋体" w:eastAsia="宋体" w:cs="宋体"/>
          <w:color w:val="auto"/>
          <w:lang w:val="en-US" w:eastAsia="zh-CN"/>
        </w:rPr>
        <w:t>城市树木处理应从安全性、对社会秩序造成的影响以及经济性等多方面综合考量，选择安全性高、对社会秩序影响低、经济合理的处理方式。</w:t>
      </w:r>
    </w:p>
    <w:p>
      <w:pPr>
        <w:pStyle w:val="39"/>
        <w:numPr>
          <w:ilvl w:val="1"/>
          <w:numId w:val="19"/>
        </w:numPr>
        <w:rPr>
          <w:rFonts w:hint="eastAsia" w:ascii="宋体" w:hAnsi="宋体" w:eastAsia="宋体" w:cs="宋体"/>
          <w:color w:val="auto"/>
          <w:lang w:val="en-US" w:eastAsia="zh-CN"/>
        </w:rPr>
      </w:pPr>
      <w:bookmarkStart w:id="250" w:name="_Toc16584"/>
      <w:bookmarkStart w:id="251" w:name="_Toc1806"/>
      <w:bookmarkStart w:id="252" w:name="_Toc4322"/>
      <w:bookmarkStart w:id="253" w:name="_Toc19823"/>
      <w:r>
        <w:rPr>
          <w:rFonts w:hint="eastAsia" w:ascii="宋体" w:hAnsi="宋体" w:eastAsia="宋体" w:cs="宋体"/>
          <w:color w:val="auto"/>
          <w:lang w:val="en-US" w:eastAsia="zh-CN"/>
        </w:rPr>
        <w:t>树木处理方案</w:t>
      </w:r>
      <w:bookmarkEnd w:id="250"/>
      <w:bookmarkEnd w:id="251"/>
      <w:bookmarkEnd w:id="252"/>
      <w:bookmarkEnd w:id="253"/>
    </w:p>
    <w:p>
      <w:pPr>
        <w:rPr>
          <w:rFonts w:hint="eastAsia" w:ascii="宋体" w:hAnsi="宋体" w:eastAsia="宋体" w:cs="宋体"/>
          <w:color w:val="auto"/>
          <w:lang w:val="en-US" w:eastAsia="zh-CN"/>
        </w:rPr>
      </w:pPr>
      <w:r>
        <w:rPr>
          <w:rFonts w:hint="eastAsia" w:ascii="宋体" w:hAnsi="宋体" w:eastAsia="宋体" w:cs="宋体"/>
          <w:color w:val="auto"/>
          <w:lang w:val="en-US" w:eastAsia="zh-CN"/>
        </w:rPr>
        <w:t>城市道路绿化建设时，根据《广州市城市道路绿化树木处理技术指引（试行）》，树木处理方式应基于安全性、对社会造成的影响以及经济性等多方面综合考量，选择最佳的树木处理方式。</w:t>
      </w:r>
    </w:p>
    <w:p>
      <w:pPr>
        <w:rPr>
          <w:rFonts w:hint="eastAsia" w:ascii="宋体" w:hAnsi="宋体" w:eastAsia="宋体" w:cs="宋体"/>
          <w:color w:val="auto"/>
          <w:lang w:val="en-US" w:eastAsia="zh-CN"/>
        </w:rPr>
      </w:pPr>
      <w:r>
        <w:rPr>
          <w:rFonts w:hint="eastAsia" w:ascii="宋体" w:hAnsi="宋体" w:eastAsia="宋体" w:cs="宋体"/>
          <w:color w:val="auto"/>
          <w:lang w:val="en-US" w:eastAsia="zh-CN"/>
        </w:rPr>
        <w:t>1、满足下列条件，应迁移利用：</w:t>
      </w:r>
    </w:p>
    <w:p>
      <w:pPr>
        <w:rPr>
          <w:rFonts w:hint="eastAsia" w:ascii="宋体" w:hAnsi="宋体" w:eastAsia="宋体" w:cs="宋体"/>
          <w:color w:val="auto"/>
          <w:lang w:val="en-US" w:eastAsia="zh-CN"/>
        </w:rPr>
      </w:pPr>
      <w:r>
        <w:rPr>
          <w:rFonts w:hint="eastAsia" w:ascii="宋体" w:hAnsi="宋体" w:eastAsia="宋体" w:cs="宋体"/>
          <w:color w:val="auto"/>
          <w:lang w:val="en-US" w:eastAsia="zh-CN"/>
        </w:rPr>
        <w:t>（1）树木处理安全性高：树木位于桥梁、隧道保护区外；树木地下和周边 1.5m范围内无地下管线及其他建筑物基础；</w:t>
      </w:r>
    </w:p>
    <w:p>
      <w:pPr>
        <w:rPr>
          <w:rFonts w:hint="eastAsia" w:ascii="宋体" w:hAnsi="宋体" w:eastAsia="宋体" w:cs="宋体"/>
          <w:color w:val="auto"/>
          <w:lang w:val="en-US" w:eastAsia="zh-CN"/>
        </w:rPr>
      </w:pPr>
      <w:r>
        <w:rPr>
          <w:rFonts w:hint="eastAsia" w:ascii="宋体" w:hAnsi="宋体" w:eastAsia="宋体" w:cs="宋体"/>
          <w:color w:val="auto"/>
          <w:lang w:val="en-US" w:eastAsia="zh-CN"/>
        </w:rPr>
        <w:t>（2）树木处理经济性高：树木长势良好，景观效果佳；树木迁移必要成本费用低于或近似于树木价值；</w:t>
      </w:r>
    </w:p>
    <w:p>
      <w:pPr>
        <w:rPr>
          <w:rFonts w:hint="eastAsia" w:ascii="宋体" w:hAnsi="宋体" w:eastAsia="宋体" w:cs="宋体"/>
          <w:color w:val="auto"/>
          <w:lang w:val="en-US" w:eastAsia="zh-CN"/>
        </w:rPr>
      </w:pPr>
      <w:r>
        <w:rPr>
          <w:rFonts w:hint="eastAsia" w:ascii="宋体" w:hAnsi="宋体" w:eastAsia="宋体" w:cs="宋体"/>
          <w:color w:val="auto"/>
          <w:lang w:val="en-US" w:eastAsia="zh-CN"/>
        </w:rPr>
        <w:t>（3）树木迁移施工作业不会对正常交通秩序及市民正常的工作、学习和生活造成严重影响。</w:t>
      </w:r>
    </w:p>
    <w:p>
      <w:pPr>
        <w:rPr>
          <w:rFonts w:hint="eastAsia" w:ascii="宋体" w:hAnsi="宋体" w:eastAsia="宋体" w:cs="宋体"/>
          <w:color w:val="auto"/>
          <w:lang w:val="en-US" w:eastAsia="zh-CN"/>
        </w:rPr>
      </w:pPr>
      <w:r>
        <w:rPr>
          <w:rFonts w:hint="eastAsia" w:ascii="宋体" w:hAnsi="宋体" w:eastAsia="宋体" w:cs="宋体"/>
          <w:color w:val="auto"/>
          <w:lang w:val="en-US" w:eastAsia="zh-CN"/>
        </w:rPr>
        <w:t>2、满足下列条件之一，应砍伐移除：</w:t>
      </w:r>
    </w:p>
    <w:p>
      <w:pPr>
        <w:rPr>
          <w:rFonts w:hint="eastAsia" w:ascii="宋体" w:hAnsi="宋体" w:eastAsia="宋体" w:cs="宋体"/>
          <w:color w:val="auto"/>
          <w:lang w:val="en-US" w:eastAsia="zh-CN"/>
        </w:rPr>
      </w:pPr>
      <w:r>
        <w:rPr>
          <w:rFonts w:hint="eastAsia" w:ascii="宋体" w:hAnsi="宋体" w:eastAsia="宋体" w:cs="宋体"/>
          <w:color w:val="auto"/>
          <w:lang w:val="en-US" w:eastAsia="zh-CN"/>
        </w:rPr>
        <w:t>（1）树木处理安全性低：树木位于桥梁、隧道保护区内；树木地下和周边 1.5m范围内存在地下管线及其他建筑物基础；树木存在难以修复的安全隐患；</w:t>
      </w:r>
    </w:p>
    <w:p>
      <w:pPr>
        <w:rPr>
          <w:rFonts w:hint="eastAsia" w:ascii="宋体" w:hAnsi="宋体" w:eastAsia="宋体" w:cs="宋体"/>
          <w:color w:val="auto"/>
          <w:lang w:val="en-US" w:eastAsia="zh-CN"/>
        </w:rPr>
      </w:pPr>
      <w:r>
        <w:rPr>
          <w:rFonts w:hint="eastAsia" w:ascii="宋体" w:hAnsi="宋体" w:eastAsia="宋体" w:cs="宋体"/>
          <w:color w:val="auto"/>
          <w:lang w:val="en-US" w:eastAsia="zh-CN"/>
        </w:rPr>
        <w:t>（2）树木处理经济性低：树木迁移必要成本费用远大于树木价值；树木整体长势较差，树体老化、病虫害严重，存在难以修复的损伤，景观效果不佳；</w:t>
      </w:r>
    </w:p>
    <w:p>
      <w:pPr>
        <w:rPr>
          <w:rFonts w:hint="eastAsia" w:ascii="宋体" w:hAnsi="宋体" w:eastAsia="宋体" w:cs="宋体"/>
          <w:color w:val="auto"/>
          <w:lang w:val="en-US" w:eastAsia="zh-CN"/>
        </w:rPr>
      </w:pPr>
      <w:r>
        <w:rPr>
          <w:rFonts w:hint="eastAsia" w:ascii="宋体" w:hAnsi="宋体" w:eastAsia="宋体" w:cs="宋体"/>
          <w:color w:val="auto"/>
          <w:lang w:val="en-US" w:eastAsia="zh-CN"/>
        </w:rPr>
        <w:t>（3）树木迁移施工作业会对正常交通秩序及市民正常的工作、学习和生活造成严重影响。</w:t>
      </w:r>
    </w:p>
    <w:p>
      <w:pPr>
        <w:rPr>
          <w:rFonts w:hint="eastAsia" w:ascii="宋体" w:hAnsi="宋体" w:eastAsia="宋体" w:cs="宋体"/>
          <w:color w:val="auto"/>
          <w:lang w:val="en-US" w:eastAsia="zh-CN"/>
        </w:rPr>
      </w:pPr>
      <w:r>
        <w:rPr>
          <w:rFonts w:hint="eastAsia" w:ascii="宋体" w:hAnsi="宋体" w:eastAsia="宋体" w:cs="宋体"/>
          <w:color w:val="auto"/>
          <w:lang w:val="en-US" w:eastAsia="zh-CN"/>
        </w:rPr>
        <w:t>根据以上指引条例以及现场乔木情况，分析如下：</w:t>
      </w:r>
    </w:p>
    <w:p>
      <w:pPr>
        <w:rPr>
          <w:rFonts w:hint="eastAsia" w:ascii="宋体" w:hAnsi="宋体" w:eastAsia="宋体" w:cs="宋体"/>
          <w:color w:val="auto"/>
          <w:lang w:val="en-US" w:eastAsia="zh-CN"/>
        </w:rPr>
      </w:pPr>
      <w:r>
        <w:rPr>
          <w:rFonts w:hint="eastAsia" w:ascii="宋体" w:hAnsi="宋体" w:eastAsia="宋体" w:cs="宋体"/>
          <w:color w:val="auto"/>
          <w:lang w:eastAsia="zh-CN"/>
        </w:rPr>
        <w:t>本项目管道敷设对现状树木不造成影响</w:t>
      </w:r>
      <w:r>
        <w:rPr>
          <w:rFonts w:hint="eastAsia" w:ascii="宋体" w:hAnsi="宋体" w:eastAsia="宋体" w:cs="宋体"/>
          <w:color w:val="auto"/>
          <w:lang w:val="en-US" w:eastAsia="zh-CN"/>
        </w:rPr>
        <w:t>，无需迁移</w:t>
      </w:r>
      <w:r>
        <w:rPr>
          <w:rFonts w:hint="eastAsia" w:ascii="宋体" w:hAnsi="宋体" w:cs="宋体"/>
          <w:color w:val="auto"/>
          <w:lang w:val="en-US" w:eastAsia="zh-CN"/>
        </w:rPr>
        <w:t>或砍伐</w:t>
      </w:r>
      <w:r>
        <w:rPr>
          <w:rFonts w:hint="eastAsia" w:ascii="宋体" w:hAnsi="宋体" w:eastAsia="宋体" w:cs="宋体"/>
          <w:color w:val="auto"/>
          <w:lang w:val="en-US" w:eastAsia="zh-CN"/>
        </w:rPr>
        <w:t>处理。</w:t>
      </w:r>
    </w:p>
    <w:p>
      <w:pPr>
        <w:pStyle w:val="39"/>
        <w:numPr>
          <w:ilvl w:val="1"/>
          <w:numId w:val="19"/>
        </w:numPr>
        <w:rPr>
          <w:rFonts w:hint="eastAsia" w:ascii="宋体" w:hAnsi="宋体" w:eastAsia="宋体" w:cs="宋体"/>
          <w:color w:val="auto"/>
          <w:lang w:val="en-US" w:eastAsia="zh-CN"/>
        </w:rPr>
      </w:pPr>
      <w:bookmarkStart w:id="254" w:name="_Toc24309"/>
      <w:bookmarkStart w:id="255" w:name="_Toc25233"/>
      <w:bookmarkStart w:id="256" w:name="_Toc30369"/>
      <w:bookmarkStart w:id="257" w:name="_Toc9128"/>
      <w:r>
        <w:rPr>
          <w:rFonts w:hint="eastAsia" w:ascii="宋体" w:hAnsi="宋体" w:eastAsia="宋体" w:cs="宋体"/>
          <w:color w:val="auto"/>
          <w:lang w:val="en-US" w:eastAsia="zh-CN"/>
        </w:rPr>
        <w:t>树木处理注意事项</w:t>
      </w:r>
      <w:bookmarkEnd w:id="254"/>
      <w:bookmarkEnd w:id="255"/>
      <w:bookmarkEnd w:id="256"/>
      <w:bookmarkEnd w:id="257"/>
    </w:p>
    <w:p>
      <w:pPr>
        <w:rPr>
          <w:rFonts w:hint="eastAsia" w:ascii="宋体" w:hAnsi="宋体" w:eastAsia="宋体" w:cs="宋体"/>
          <w:color w:val="auto"/>
          <w:lang w:val="en-US" w:eastAsia="zh-CN"/>
        </w:rPr>
      </w:pPr>
      <w:r>
        <w:rPr>
          <w:rFonts w:hint="eastAsia" w:ascii="宋体" w:hAnsi="宋体" w:eastAsia="宋体" w:cs="宋体"/>
          <w:color w:val="auto"/>
          <w:lang w:val="en-US" w:eastAsia="zh-CN"/>
        </w:rPr>
        <w:t>（1）建设单位迁移、砍伐树木应严格按照经审批的施工计划或者迁移技术方案实施。实施迁移的树木，应按就近迁移安置的原则，将树木迁移到绿化管理部门指定的中转苗圃中（可优先考虑把公园绿地、附属绿地、生产绿地等作为中转苗圃），并做好管养工作。</w:t>
      </w:r>
    </w:p>
    <w:p>
      <w:pPr>
        <w:rPr>
          <w:rFonts w:hint="eastAsia" w:ascii="宋体" w:hAnsi="宋体" w:eastAsia="宋体" w:cs="宋体"/>
          <w:color w:val="auto"/>
          <w:lang w:val="en-US" w:eastAsia="zh-CN"/>
        </w:rPr>
      </w:pPr>
      <w:r>
        <w:rPr>
          <w:rFonts w:hint="eastAsia" w:ascii="宋体" w:hAnsi="宋体" w:eastAsia="宋体" w:cs="宋体"/>
          <w:color w:val="auto"/>
          <w:lang w:val="en-US" w:eastAsia="zh-CN"/>
        </w:rPr>
        <w:t>（2）工程设计方案中应编制树木保护专章，明确采取的避让和保护措施：设立树木保护区、适当的修剪树木、使用保护物料包裹树干、设置临时树木支撑、定期检查树木健康状况等。</w:t>
      </w:r>
    </w:p>
    <w:p>
      <w:pPr>
        <w:rPr>
          <w:rFonts w:hint="eastAsia" w:ascii="宋体" w:hAnsi="宋体" w:eastAsia="宋体" w:cs="宋体"/>
          <w:color w:val="auto"/>
          <w:lang w:val="en-US" w:eastAsia="zh-CN"/>
        </w:rPr>
      </w:pPr>
      <w:r>
        <w:rPr>
          <w:rFonts w:hint="eastAsia" w:ascii="宋体" w:hAnsi="宋体" w:eastAsia="宋体" w:cs="宋体"/>
          <w:color w:val="auto"/>
          <w:lang w:val="en-US" w:eastAsia="zh-CN"/>
        </w:rPr>
        <w:t>（3）建设工程涉及地面开挖的，施工应在距离树木树干边沿约 2米外进行；若为行道树，可缩小距离，但至少应大于 1米。现场施工不能满足前述条件或存在其他特殊情况的，建设单位应在施工前向绿化行政主管部门报告，并对可能受影响的树木树干和根部做好保护措施。</w:t>
      </w:r>
    </w:p>
    <w:p>
      <w:pPr>
        <w:rPr>
          <w:rFonts w:hint="eastAsia" w:ascii="宋体" w:hAnsi="宋体" w:eastAsia="宋体" w:cs="宋体"/>
          <w:color w:val="auto"/>
          <w:lang w:val="en-US" w:eastAsia="zh-CN"/>
        </w:rPr>
      </w:pPr>
      <w:r>
        <w:rPr>
          <w:rFonts w:hint="eastAsia" w:ascii="宋体" w:hAnsi="宋体" w:eastAsia="宋体" w:cs="宋体"/>
          <w:color w:val="auto"/>
          <w:lang w:val="en-US" w:eastAsia="zh-CN"/>
        </w:rPr>
        <w:t>（4）修剪树木应当按照国家、省、市绿化修剪技术标准执行。禁止过度修剪树木，因特殊艺术造型或排除安全隐患需要的除外。</w:t>
      </w:r>
    </w:p>
    <w:p>
      <w:pPr>
        <w:rPr>
          <w:rFonts w:hint="eastAsia" w:cs="宋体"/>
          <w:color w:val="auto"/>
          <w:sz w:val="28"/>
          <w:szCs w:val="21"/>
        </w:rPr>
      </w:pPr>
      <w:r>
        <w:rPr>
          <w:rFonts w:hint="eastAsia" w:ascii="宋体" w:hAnsi="宋体" w:eastAsia="宋体" w:cs="宋体"/>
          <w:color w:val="auto"/>
          <w:lang w:val="en-US" w:eastAsia="zh-CN"/>
        </w:rPr>
        <w:t>（5）修剪、迁移、砍伐树木施工时，施工单位应当在现场显著位置设立告示牌进行公示。告示牌应包含修剪、迁移、砍伐树木的原因、施工地点、施工单位、负责人、联系电话、批准文号、批准单位、施工内容、投诉电话等信息，以及建设工程施工完成后的效果图。公示期从施工开工之日起至完工之日止。</w:t>
      </w:r>
    </w:p>
    <w:p>
      <w:pPr>
        <w:pStyle w:val="38"/>
        <w:numPr>
          <w:ilvl w:val="0"/>
          <w:numId w:val="19"/>
        </w:numPr>
        <w:bidi w:val="0"/>
        <w:rPr>
          <w:rFonts w:hint="eastAsia" w:cs="宋体"/>
          <w:color w:val="auto"/>
        </w:rPr>
      </w:pPr>
      <w:bookmarkStart w:id="258" w:name="_Toc7153"/>
      <w:r>
        <w:rPr>
          <w:rFonts w:hint="eastAsia" w:cs="宋体"/>
          <w:color w:val="auto"/>
          <w:lang w:eastAsia="zh-CN"/>
        </w:rPr>
        <w:t>历史文化风貌保护</w:t>
      </w:r>
      <w:bookmarkEnd w:id="258"/>
    </w:p>
    <w:p>
      <w:pPr>
        <w:pStyle w:val="39"/>
        <w:numPr>
          <w:ilvl w:val="1"/>
          <w:numId w:val="19"/>
        </w:numPr>
        <w:bidi w:val="0"/>
        <w:rPr>
          <w:rFonts w:hint="eastAsia" w:cs="宋体"/>
          <w:color w:val="auto"/>
        </w:rPr>
      </w:pPr>
      <w:bookmarkStart w:id="259" w:name="_Toc32102"/>
      <w:r>
        <w:rPr>
          <w:rFonts w:hint="eastAsia" w:cs="宋体"/>
          <w:color w:val="auto"/>
          <w:lang w:eastAsia="zh-CN"/>
        </w:rPr>
        <w:t>历史文化风貌保护</w:t>
      </w:r>
      <w:bookmarkEnd w:id="259"/>
    </w:p>
    <w:p>
      <w:pPr>
        <w:rPr>
          <w:rFonts w:hint="eastAsia" w:cs="宋体"/>
          <w:color w:val="auto"/>
          <w:sz w:val="28"/>
          <w:szCs w:val="21"/>
        </w:rPr>
      </w:pPr>
      <w:r>
        <w:rPr>
          <w:rFonts w:hint="eastAsia" w:cs="宋体"/>
          <w:color w:val="auto"/>
          <w:sz w:val="28"/>
          <w:szCs w:val="21"/>
        </w:rPr>
        <w:t>根据《广州市从化区水务专业委员会关于落实古树名木及大树保护、历史文化风貌保护、防范大规模拆建等要求的通知》(SWJ20220247)的通知，各区行政主管部门要督促辖内水务工程建设单位落实历史文化风貌保护事前审查的工作要求。各建设单位在初步设计阶段，如涉及历史文化风貌保护的，要做好科学论证并向区文广旅体局申请审查，未通过审查的不得实施。本工程历史文化风貌保护如下:</w:t>
      </w:r>
    </w:p>
    <w:p>
      <w:pPr>
        <w:rPr>
          <w:rFonts w:hint="eastAsia" w:cs="宋体"/>
          <w:color w:val="auto"/>
          <w:sz w:val="28"/>
          <w:szCs w:val="21"/>
        </w:rPr>
      </w:pPr>
      <w:r>
        <w:rPr>
          <w:rFonts w:hint="eastAsia" w:cs="宋体"/>
          <w:color w:val="auto"/>
          <w:sz w:val="28"/>
          <w:szCs w:val="21"/>
        </w:rPr>
        <w:t>(1)历史文化风貌保护</w:t>
      </w:r>
    </w:p>
    <w:p>
      <w:pPr>
        <w:rPr>
          <w:rFonts w:hint="eastAsia" w:cs="宋体"/>
          <w:color w:val="auto"/>
        </w:rPr>
      </w:pPr>
      <w:r>
        <w:rPr>
          <w:rFonts w:hint="eastAsia" w:cs="宋体"/>
          <w:color w:val="auto"/>
          <w:sz w:val="28"/>
          <w:szCs w:val="21"/>
        </w:rPr>
        <w:t>经现场核查，本项目建设区域内无历史文化风貌，无需进行保护。</w:t>
      </w:r>
    </w:p>
    <w:p>
      <w:pPr>
        <w:pStyle w:val="38"/>
        <w:numPr>
          <w:ilvl w:val="0"/>
          <w:numId w:val="19"/>
        </w:numPr>
        <w:bidi w:val="0"/>
        <w:rPr>
          <w:rFonts w:hint="eastAsia" w:cs="宋体"/>
          <w:color w:val="auto"/>
        </w:rPr>
      </w:pPr>
      <w:bookmarkStart w:id="260" w:name="_Toc2181"/>
      <w:r>
        <w:rPr>
          <w:rFonts w:hint="eastAsia" w:cs="宋体"/>
          <w:color w:val="auto"/>
        </w:rPr>
        <w:t>防范大规模拆建</w:t>
      </w:r>
      <w:bookmarkEnd w:id="260"/>
    </w:p>
    <w:p>
      <w:pPr>
        <w:pStyle w:val="39"/>
        <w:numPr>
          <w:ilvl w:val="1"/>
          <w:numId w:val="19"/>
        </w:numPr>
        <w:bidi w:val="0"/>
        <w:rPr>
          <w:rFonts w:hint="eastAsia" w:cs="宋体"/>
          <w:color w:val="auto"/>
        </w:rPr>
      </w:pPr>
      <w:bookmarkStart w:id="261" w:name="_Toc31557"/>
      <w:bookmarkStart w:id="262" w:name="_Toc28001"/>
      <w:r>
        <w:rPr>
          <w:rFonts w:hint="eastAsia" w:cs="宋体"/>
          <w:color w:val="auto"/>
        </w:rPr>
        <w:t>防范大规模拆建</w:t>
      </w:r>
      <w:bookmarkEnd w:id="261"/>
      <w:bookmarkEnd w:id="262"/>
    </w:p>
    <w:p>
      <w:pPr>
        <w:rPr>
          <w:rFonts w:hint="eastAsia" w:cs="宋体"/>
          <w:color w:val="auto"/>
          <w:sz w:val="28"/>
          <w:szCs w:val="21"/>
        </w:rPr>
      </w:pPr>
      <w:r>
        <w:rPr>
          <w:rFonts w:hint="eastAsia" w:cs="宋体"/>
          <w:color w:val="auto"/>
          <w:sz w:val="28"/>
          <w:szCs w:val="21"/>
        </w:rPr>
        <w:t>根据《广州市从化区水务专业委员会关于落实古树名木及大树保护、历史文化风貌保护、防范大规模拆建等要求的通知》(SWJ20220247)的通知，各区行政主管部门要督促辖内水务工程建设单位落实大规模拆建事前审查的工作要求。各建设单位在初步设计阶段，如涉及大规模拆建的，要做好科学论证并向区住建局申请审查，未通过审查的不得实施。本工程大规模拆建如下:</w:t>
      </w:r>
    </w:p>
    <w:p>
      <w:pPr>
        <w:rPr>
          <w:rFonts w:hint="eastAsia" w:cs="宋体"/>
          <w:color w:val="auto"/>
          <w:sz w:val="28"/>
          <w:szCs w:val="21"/>
        </w:rPr>
      </w:pPr>
      <w:r>
        <w:rPr>
          <w:rFonts w:hint="eastAsia" w:cs="宋体"/>
          <w:color w:val="auto"/>
          <w:sz w:val="28"/>
          <w:szCs w:val="21"/>
        </w:rPr>
        <w:t>(1)大规模拆建</w:t>
      </w:r>
    </w:p>
    <w:p>
      <w:pPr>
        <w:rPr>
          <w:rFonts w:hint="eastAsia" w:cs="宋体"/>
          <w:color w:val="auto"/>
          <w:sz w:val="28"/>
          <w:szCs w:val="21"/>
        </w:rPr>
      </w:pPr>
      <w:r>
        <w:rPr>
          <w:rFonts w:hint="eastAsia" w:cs="宋体"/>
          <w:color w:val="auto"/>
          <w:sz w:val="28"/>
          <w:szCs w:val="21"/>
        </w:rPr>
        <w:t>本项目建设不涉及大规模拆建，无需进行防范。</w:t>
      </w:r>
    </w:p>
    <w:p>
      <w:pPr>
        <w:rPr>
          <w:rFonts w:hint="eastAsia" w:cs="宋体"/>
          <w:color w:val="auto"/>
        </w:rPr>
      </w:pPr>
    </w:p>
    <w:bookmarkEnd w:id="113"/>
    <w:p>
      <w:pPr>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br w:type="page"/>
      </w:r>
    </w:p>
    <w:p>
      <w:pPr>
        <w:pStyle w:val="38"/>
        <w:numPr>
          <w:ilvl w:val="0"/>
          <w:numId w:val="9"/>
        </w:numPr>
        <w:rPr>
          <w:rFonts w:cs="宋体"/>
          <w:color w:val="auto"/>
          <w:sz w:val="32"/>
          <w:szCs w:val="40"/>
        </w:rPr>
      </w:pPr>
      <w:bookmarkStart w:id="263" w:name="_Toc11796"/>
      <w:bookmarkStart w:id="264" w:name="_Toc11499"/>
      <w:r>
        <w:rPr>
          <w:rFonts w:hint="eastAsia" w:cs="宋体"/>
          <w:color w:val="auto"/>
          <w:sz w:val="32"/>
          <w:szCs w:val="40"/>
          <w:lang w:eastAsia="zh-CN"/>
        </w:rPr>
        <w:t>工程投资</w:t>
      </w:r>
      <w:bookmarkEnd w:id="263"/>
    </w:p>
    <w:p>
      <w:pPr>
        <w:pStyle w:val="39"/>
        <w:numPr>
          <w:ilvl w:val="1"/>
          <w:numId w:val="9"/>
        </w:numPr>
        <w:rPr>
          <w:rFonts w:cs="宋体" w:asciiTheme="minorEastAsia" w:hAnsiTheme="minorEastAsia" w:eastAsiaTheme="minorEastAsia"/>
          <w:color w:val="auto"/>
          <w:sz w:val="28"/>
          <w:szCs w:val="28"/>
        </w:rPr>
      </w:pPr>
      <w:bookmarkStart w:id="265" w:name="_Toc7591"/>
      <w:bookmarkStart w:id="266" w:name="_Toc22610"/>
      <w:r>
        <w:rPr>
          <w:rFonts w:cs="宋体" w:asciiTheme="minorEastAsia" w:hAnsiTheme="minorEastAsia" w:eastAsiaTheme="minorEastAsia"/>
          <w:color w:val="auto"/>
          <w:sz w:val="28"/>
          <w:szCs w:val="28"/>
        </w:rPr>
        <w:t>编制范围</w:t>
      </w:r>
      <w:bookmarkEnd w:id="265"/>
      <w:bookmarkEnd w:id="266"/>
    </w:p>
    <w:p>
      <w:pPr>
        <w:ind w:firstLine="565"/>
        <w:rPr>
          <w:rFonts w:cs="宋体" w:asciiTheme="minorEastAsia" w:hAnsiTheme="minorEastAsia" w:eastAsiaTheme="minorEastAsia"/>
          <w:color w:val="auto"/>
          <w:sz w:val="28"/>
          <w:szCs w:val="24"/>
        </w:rPr>
      </w:pPr>
      <w:r>
        <w:rPr>
          <w:rFonts w:hint="eastAsia" w:cs="宋体" w:asciiTheme="minorEastAsia" w:hAnsiTheme="minorEastAsia" w:eastAsiaTheme="minorEastAsia"/>
          <w:color w:val="auto"/>
          <w:sz w:val="28"/>
          <w:szCs w:val="24"/>
          <w:lang w:eastAsia="zh-CN"/>
        </w:rPr>
        <w:t>从化区江埔街Y523片区雨污分流工程</w:t>
      </w:r>
      <w:r>
        <w:rPr>
          <w:rFonts w:hint="eastAsia" w:cs="宋体" w:asciiTheme="minorEastAsia" w:hAnsiTheme="minorEastAsia" w:eastAsiaTheme="minorEastAsia"/>
          <w:color w:val="auto"/>
          <w:sz w:val="28"/>
          <w:szCs w:val="24"/>
        </w:rPr>
        <w:t>。</w:t>
      </w:r>
    </w:p>
    <w:p>
      <w:pPr>
        <w:pStyle w:val="39"/>
        <w:numPr>
          <w:ilvl w:val="1"/>
          <w:numId w:val="9"/>
        </w:numPr>
        <w:rPr>
          <w:rFonts w:cs="宋体" w:asciiTheme="minorEastAsia" w:hAnsiTheme="minorEastAsia" w:eastAsiaTheme="minorEastAsia"/>
          <w:color w:val="auto"/>
          <w:sz w:val="28"/>
          <w:szCs w:val="28"/>
        </w:rPr>
      </w:pPr>
      <w:bookmarkStart w:id="267" w:name="_Toc22557"/>
      <w:bookmarkStart w:id="268" w:name="_Toc9735"/>
      <w:r>
        <w:rPr>
          <w:rFonts w:cs="宋体" w:asciiTheme="minorEastAsia" w:hAnsiTheme="minorEastAsia" w:eastAsiaTheme="minorEastAsia"/>
          <w:color w:val="auto"/>
          <w:sz w:val="28"/>
          <w:szCs w:val="28"/>
        </w:rPr>
        <w:t>编制依据</w:t>
      </w:r>
      <w:bookmarkEnd w:id="267"/>
      <w:bookmarkEnd w:id="268"/>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1、本工程相关设计文件；</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2、《预制装配式钢筋混凝土排水检查井标准图集》；</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w:t>
      </w:r>
      <w:r>
        <w:rPr>
          <w:rFonts w:cs="宋体" w:asciiTheme="minorEastAsia" w:hAnsiTheme="minorEastAsia" w:eastAsiaTheme="minorEastAsia"/>
          <w:color w:val="auto"/>
          <w:sz w:val="28"/>
          <w:szCs w:val="21"/>
          <w:highlight w:val="none"/>
        </w:rPr>
        <w:t>建质</w:t>
      </w:r>
      <w:r>
        <w:rPr>
          <w:rFonts w:cs="宋体" w:asciiTheme="minorEastAsia" w:hAnsiTheme="minorEastAsia" w:eastAsiaTheme="minorEastAsia"/>
          <w:color w:val="auto"/>
          <w:sz w:val="28"/>
          <w:szCs w:val="21"/>
        </w:rPr>
        <w:t>[2013]57号《市政公用工程设计文件编制深度规定》；</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4、建标[2007]164号《市政工程投资</w:t>
      </w:r>
      <w:r>
        <w:rPr>
          <w:rFonts w:hint="eastAsia" w:cs="宋体" w:asciiTheme="minorEastAsia" w:hAnsiTheme="minorEastAsia" w:eastAsiaTheme="minorEastAsia"/>
          <w:color w:val="auto"/>
          <w:sz w:val="28"/>
          <w:szCs w:val="21"/>
        </w:rPr>
        <w:t>概算</w:t>
      </w:r>
      <w:r>
        <w:rPr>
          <w:rFonts w:cs="宋体" w:asciiTheme="minorEastAsia" w:hAnsiTheme="minorEastAsia" w:eastAsiaTheme="minorEastAsia"/>
          <w:color w:val="auto"/>
          <w:sz w:val="28"/>
          <w:szCs w:val="21"/>
        </w:rPr>
        <w:t>编制办法》；</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5、穗水排水[2018]16号《广州市水务局关于推广使用预制装配式排水检查井及限制使用砖砌筑排水检查井的通知》；</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6、广东省住房和城乡建设厅文件印发《广东省建设工程计价依据编制技术报告2018》</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7、建设工程监理费按照国家发改委、建设部发改价格[2007]670号的通知；</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8、计价格[1999]1283号国家计委关于印发建设项目前期工作咨询收费暂行规定的通知；</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9、环境影响咨询费：计价格[2002]125号《关于规范环境影响咨询收费有关问题的通知》；</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10、计价格[2002]10号国家计委、建设部关于发布《工程勘察设计收费管理规定》的通知；</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11、市政园林函</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2006</w:t>
      </w:r>
      <w:r>
        <w:rPr>
          <w:rFonts w:cs="宋体" w:asciiTheme="minorEastAsia" w:hAnsiTheme="minorEastAsia" w:eastAsiaTheme="minorEastAsia"/>
          <w:color w:val="auto"/>
          <w:sz w:val="28"/>
          <w:szCs w:val="21"/>
          <w:highlight w:val="none"/>
        </w:rPr>
        <w:t>]</w:t>
      </w:r>
      <w:r>
        <w:rPr>
          <w:rFonts w:cs="宋体" w:asciiTheme="minorEastAsia" w:hAnsiTheme="minorEastAsia" w:eastAsiaTheme="minorEastAsia"/>
          <w:color w:val="auto"/>
          <w:sz w:val="28"/>
          <w:szCs w:val="21"/>
        </w:rPr>
        <w:t>2049号文，《广州市市政园林局城市公共排水设施竣工验收和设施移交管理工作指引（试行）》；</w:t>
      </w:r>
    </w:p>
    <w:p>
      <w:pPr>
        <w:ind w:firstLine="565"/>
        <w:rPr>
          <w:rFonts w:cs="宋体" w:asciiTheme="minorEastAsia" w:hAnsiTheme="minorEastAsia" w:eastAsiaTheme="minorEastAsia"/>
          <w:color w:val="auto"/>
          <w:sz w:val="28"/>
          <w:szCs w:val="24"/>
        </w:rPr>
      </w:pPr>
      <w:r>
        <w:rPr>
          <w:rFonts w:cs="宋体" w:asciiTheme="minorEastAsia" w:hAnsiTheme="minorEastAsia" w:eastAsiaTheme="minorEastAsia"/>
          <w:color w:val="auto"/>
          <w:sz w:val="28"/>
          <w:szCs w:val="21"/>
        </w:rPr>
        <w:t>12、计价格[2002]1980号关于印发《招标代理服务收费管理暂行方法》</w:t>
      </w:r>
      <w:r>
        <w:rPr>
          <w:rFonts w:cs="宋体" w:asciiTheme="minorEastAsia" w:hAnsiTheme="minorEastAsia" w:eastAsiaTheme="minorEastAsia"/>
          <w:color w:val="auto"/>
          <w:sz w:val="28"/>
          <w:szCs w:val="24"/>
        </w:rPr>
        <w:t>的通知；</w:t>
      </w:r>
    </w:p>
    <w:p>
      <w:pPr>
        <w:pStyle w:val="39"/>
        <w:numPr>
          <w:ilvl w:val="1"/>
          <w:numId w:val="9"/>
        </w:numPr>
        <w:rPr>
          <w:rFonts w:hint="default" w:cs="宋体" w:asciiTheme="minorEastAsia" w:hAnsiTheme="minorEastAsia" w:eastAsiaTheme="minorEastAsia"/>
          <w:color w:val="auto"/>
          <w:sz w:val="28"/>
          <w:szCs w:val="28"/>
          <w:lang w:val="en-US" w:eastAsia="zh-CN"/>
        </w:rPr>
      </w:pPr>
      <w:bookmarkStart w:id="269" w:name="_Toc25419"/>
      <w:r>
        <w:rPr>
          <w:rFonts w:hint="eastAsia" w:cs="宋体" w:asciiTheme="minorEastAsia" w:hAnsiTheme="minorEastAsia" w:eastAsiaTheme="minorEastAsia"/>
          <w:color w:val="auto"/>
          <w:sz w:val="28"/>
          <w:szCs w:val="28"/>
          <w:lang w:val="en-US" w:eastAsia="zh-CN"/>
        </w:rPr>
        <w:t>工程投资概算</w:t>
      </w:r>
      <w:bookmarkEnd w:id="269"/>
    </w:p>
    <w:p>
      <w:pPr>
        <w:rPr>
          <w:rFonts w:hint="default"/>
          <w:lang w:val="en-US" w:eastAsia="zh-CN"/>
        </w:rPr>
      </w:pPr>
      <w:r>
        <w:rPr>
          <w:rFonts w:hint="eastAsia" w:cs="宋体" w:asciiTheme="minorEastAsia" w:hAnsiTheme="minorEastAsia" w:eastAsiaTheme="minorEastAsia"/>
          <w:color w:val="auto"/>
          <w:sz w:val="28"/>
          <w:szCs w:val="28"/>
          <w:lang w:val="en-US" w:eastAsia="zh-CN"/>
        </w:rPr>
        <w:t>详见概算书</w:t>
      </w:r>
    </w:p>
    <w:p>
      <w:pPr>
        <w:pStyle w:val="87"/>
        <w:numPr>
          <w:ilvl w:val="0"/>
          <w:numId w:val="0"/>
        </w:numPr>
        <w:spacing w:before="327" w:after="327"/>
        <w:ind w:leftChars="0"/>
        <w:jc w:val="both"/>
        <w:rPr>
          <w:rFonts w:cs="宋体"/>
          <w:color w:val="auto"/>
          <w:sz w:val="32"/>
          <w:szCs w:val="40"/>
        </w:rPr>
      </w:pPr>
    </w:p>
    <w:bookmarkEnd w:id="264"/>
    <w:p>
      <w:pPr>
        <w:pStyle w:val="38"/>
        <w:numPr>
          <w:ilvl w:val="0"/>
          <w:numId w:val="9"/>
        </w:numPr>
        <w:rPr>
          <w:rFonts w:cs="宋体"/>
          <w:color w:val="auto"/>
          <w:sz w:val="32"/>
          <w:szCs w:val="40"/>
        </w:rPr>
      </w:pPr>
      <w:bookmarkStart w:id="270" w:name="_Toc21832"/>
      <w:bookmarkStart w:id="271" w:name="_Toc5161"/>
      <w:r>
        <w:rPr>
          <w:rFonts w:hint="eastAsia" w:cs="宋体"/>
          <w:color w:val="auto"/>
          <w:sz w:val="32"/>
          <w:szCs w:val="40"/>
        </w:rPr>
        <w:t>海绵城市</w:t>
      </w:r>
      <w:bookmarkEnd w:id="270"/>
    </w:p>
    <w:p>
      <w:pPr>
        <w:ind w:firstLine="565"/>
        <w:rPr>
          <w:rFonts w:cs="宋体"/>
          <w:color w:val="auto"/>
          <w:sz w:val="28"/>
          <w:szCs w:val="21"/>
        </w:rPr>
      </w:pPr>
      <w:r>
        <w:rPr>
          <w:rFonts w:hint="eastAsia" w:cs="宋体"/>
          <w:color w:val="auto"/>
          <w:sz w:val="28"/>
          <w:szCs w:val="21"/>
        </w:rPr>
        <w:t>海绵城市，是新一代城市雨洪管理概念，也可称之为“水弹性城市”。国际通用术语为“低影响开发雨水系统构建”。下雨时吸水、蓄水、渗水、净水，需要时将蓄存的水“释放”并加以利用。</w:t>
      </w:r>
    </w:p>
    <w:p>
      <w:pPr>
        <w:ind w:firstLine="565"/>
        <w:rPr>
          <w:rFonts w:cs="宋体"/>
          <w:color w:val="auto"/>
          <w:sz w:val="28"/>
          <w:szCs w:val="21"/>
        </w:rPr>
      </w:pPr>
      <w:r>
        <w:rPr>
          <w:rFonts w:hint="eastAsia" w:cs="宋体"/>
          <w:color w:val="auto"/>
          <w:sz w:val="28"/>
          <w:szCs w:val="21"/>
        </w:rPr>
        <w:t>2017年3月5日中华人民共和国第十二届全国人民代表大会第五次会议上，李克强总理政府工作报告中提到：统筹城市地上地下建设，再开工建设城市地下综合管廊2000公里以上，启动消除城区重点易涝区段三年行动，推进海绵城市建设，使城市既有“面子”，更有“里子”。</w:t>
      </w:r>
    </w:p>
    <w:p>
      <w:pPr>
        <w:ind w:firstLine="565"/>
        <w:rPr>
          <w:rFonts w:cs="宋体"/>
          <w:color w:val="auto"/>
          <w:sz w:val="28"/>
          <w:szCs w:val="21"/>
        </w:rPr>
      </w:pPr>
      <w:r>
        <w:rPr>
          <w:rFonts w:hint="eastAsia" w:cs="宋体"/>
          <w:color w:val="auto"/>
          <w:sz w:val="28"/>
          <w:szCs w:val="21"/>
        </w:rPr>
        <w:t>“海绵城市”材料实质性应用，表现出优秀的渗水、抗压、耐磨、防滑以及环保美观多彩、舒适易维护和吸音减噪等特点，成了“会呼吸”的城镇景观路面，也有效缓解了城市热岛效应，让城市路面不再发热。</w:t>
      </w:r>
    </w:p>
    <w:p>
      <w:pPr>
        <w:ind w:firstLine="565"/>
        <w:rPr>
          <w:rFonts w:cs="宋体"/>
          <w:color w:val="auto"/>
          <w:sz w:val="28"/>
          <w:szCs w:val="21"/>
        </w:rPr>
      </w:pPr>
      <w:r>
        <w:rPr>
          <w:rFonts w:hint="eastAsia" w:cs="宋体"/>
          <w:color w:val="auto"/>
          <w:sz w:val="28"/>
          <w:szCs w:val="21"/>
        </w:rPr>
        <w:t>海绵城市是指通过加强城市规划建设管理，充分发挥建筑、道路和绿地、水系等生态系统对雨水的吸纳、蓄渗和缓释作用，有效控制雨水径流，实现自然积存、自然渗透、自然净化的城市发展方式。《国务院关于加强城市基础设施建设的意见》（国发〔2013〕36号）和《国务院办公厅关于做好城市排水防涝设施建设工作的通知》（国办发〔2013〕23号）印发以来，各有关方面积极贯彻新型城镇化和水安全战略有关要求，有序推进海绵城市建设试点，在有效防治城市内涝、保障城市生态安全等方面取得了积极成效。</w:t>
      </w:r>
    </w:p>
    <w:p>
      <w:pPr>
        <w:pStyle w:val="39"/>
        <w:numPr>
          <w:ilvl w:val="1"/>
          <w:numId w:val="9"/>
        </w:numPr>
        <w:rPr>
          <w:rFonts w:cs="宋体"/>
          <w:color w:val="auto"/>
          <w:sz w:val="28"/>
          <w:szCs w:val="28"/>
        </w:rPr>
      </w:pPr>
      <w:bookmarkStart w:id="272" w:name="_Toc27431"/>
      <w:r>
        <w:rPr>
          <w:rFonts w:hint="eastAsia" w:cs="宋体"/>
          <w:color w:val="auto"/>
          <w:sz w:val="28"/>
          <w:szCs w:val="28"/>
          <w:lang w:eastAsia="zh-CN"/>
        </w:rPr>
        <w:t>污水管渠的海绵城市设计</w:t>
      </w:r>
      <w:bookmarkEnd w:id="272"/>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宋体"/>
          <w:color w:val="auto"/>
          <w:sz w:val="28"/>
          <w:szCs w:val="21"/>
          <w:lang w:eastAsia="zh-CN"/>
        </w:rPr>
      </w:pPr>
      <w:r>
        <w:rPr>
          <w:rFonts w:hint="eastAsia" w:cs="宋体"/>
          <w:color w:val="auto"/>
          <w:sz w:val="28"/>
          <w:szCs w:val="21"/>
          <w:lang w:eastAsia="zh-CN"/>
        </w:rPr>
        <w:t>根据《</w:t>
      </w:r>
      <w:r>
        <w:rPr>
          <w:rFonts w:hint="eastAsia" w:cs="宋体"/>
          <w:color w:val="auto"/>
          <w:sz w:val="28"/>
          <w:szCs w:val="21"/>
          <w:lang w:val="en-US" w:eastAsia="zh-CN"/>
        </w:rPr>
        <w:t>广州市水务工程项目海绵城市建设技术指引</w:t>
      </w:r>
      <w:r>
        <w:rPr>
          <w:rFonts w:hint="eastAsia" w:cs="宋体"/>
          <w:color w:val="auto"/>
          <w:sz w:val="28"/>
          <w:szCs w:val="21"/>
          <w:lang w:eastAsia="zh-CN"/>
        </w:rPr>
        <w:t>》中对于污水管渠的海绵城市设计要求，结合本项目建设的实际情况，与其要求相对应的有以下几点：</w:t>
      </w:r>
    </w:p>
    <w:p>
      <w:pPr>
        <w:keepNext w:val="0"/>
        <w:keepLines w:val="0"/>
        <w:pageBreakBefore w:val="0"/>
        <w:widowControl w:val="0"/>
        <w:numPr>
          <w:ilvl w:val="0"/>
          <w:numId w:val="41"/>
        </w:numPr>
        <w:kinsoku/>
        <w:wordWrap/>
        <w:overflowPunct/>
        <w:topLinePunct w:val="0"/>
        <w:autoSpaceDE/>
        <w:autoSpaceDN/>
        <w:bidi w:val="0"/>
        <w:adjustRightInd/>
        <w:snapToGrid/>
        <w:spacing w:line="360" w:lineRule="auto"/>
        <w:textAlignment w:val="auto"/>
        <w:rPr>
          <w:rFonts w:hint="eastAsia" w:cs="宋体"/>
          <w:color w:val="auto"/>
          <w:sz w:val="28"/>
          <w:szCs w:val="21"/>
          <w:lang w:eastAsia="zh-CN"/>
        </w:rPr>
      </w:pPr>
      <w:r>
        <w:rPr>
          <w:rFonts w:hint="eastAsia" w:cs="宋体"/>
          <w:color w:val="auto"/>
          <w:sz w:val="28"/>
          <w:szCs w:val="21"/>
          <w:lang w:eastAsia="zh-CN"/>
        </w:rPr>
        <w:t>严格按照污水管道设计标准设计，应采用 3 倍的规划旱流污水量复核管道满流情况下的过流能力。宜采用现状旱流污水量校核不淤流速。公共污水管最小设计管径为500mm。提高污水管网覆盖率和污水收集率，减少点源污染排放。</w:t>
      </w:r>
    </w:p>
    <w:p>
      <w:pPr>
        <w:pStyle w:val="36"/>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leftChars="0" w:firstLine="564" w:firstLineChars="200"/>
        <w:textAlignment w:val="auto"/>
        <w:rPr>
          <w:rFonts w:hint="eastAsia" w:eastAsia="宋体" w:cs="宋体" w:asciiTheme="minorHAnsi" w:hAnsiTheme="minorHAnsi"/>
          <w:color w:val="auto"/>
          <w:spacing w:val="0"/>
          <w:kern w:val="2"/>
          <w:sz w:val="28"/>
          <w:szCs w:val="21"/>
          <w:lang w:val="en-US" w:eastAsia="zh-CN" w:bidi="ar-SA"/>
        </w:rPr>
      </w:pPr>
      <w:r>
        <w:rPr>
          <w:rFonts w:hint="eastAsia" w:eastAsia="宋体" w:cs="宋体" w:asciiTheme="minorHAnsi" w:hAnsiTheme="minorHAnsi"/>
          <w:color w:val="auto"/>
          <w:spacing w:val="0"/>
          <w:kern w:val="2"/>
          <w:sz w:val="28"/>
          <w:szCs w:val="21"/>
          <w:lang w:val="en-US" w:eastAsia="zh-CN" w:bidi="ar-SA"/>
        </w:rPr>
        <w:t>根据水力计算章节的计算结果，本项目满足现状不淤流速要求，远期满足三倍旱流污水量要求。</w:t>
      </w:r>
    </w:p>
    <w:p>
      <w:pPr>
        <w:pStyle w:val="36"/>
        <w:keepNext w:val="0"/>
        <w:keepLines w:val="0"/>
        <w:pageBreakBefore w:val="0"/>
        <w:widowControl w:val="0"/>
        <w:numPr>
          <w:ilvl w:val="0"/>
          <w:numId w:val="41"/>
        </w:numPr>
        <w:kinsoku/>
        <w:wordWrap/>
        <w:overflowPunct/>
        <w:topLinePunct w:val="0"/>
        <w:autoSpaceDE/>
        <w:autoSpaceDN/>
        <w:bidi w:val="0"/>
        <w:adjustRightInd/>
        <w:snapToGrid/>
        <w:spacing w:before="0" w:after="0" w:line="360" w:lineRule="auto"/>
        <w:ind w:left="0" w:leftChars="0" w:firstLine="604" w:firstLineChars="200"/>
        <w:textAlignment w:val="auto"/>
        <w:rPr>
          <w:rFonts w:hint="eastAsia" w:cs="宋体"/>
          <w:color w:val="auto"/>
          <w:spacing w:val="10"/>
          <w:kern w:val="0"/>
          <w:sz w:val="28"/>
          <w:szCs w:val="18"/>
          <w:shd w:val="clear" w:color="auto" w:fill="auto"/>
          <w:lang w:val="en-US" w:eastAsia="zh-CN" w:bidi="ar-SA"/>
        </w:rPr>
      </w:pPr>
      <w:r>
        <w:rPr>
          <w:rFonts w:hint="eastAsia" w:cs="宋体"/>
          <w:color w:val="auto"/>
          <w:spacing w:val="10"/>
          <w:kern w:val="0"/>
          <w:sz w:val="28"/>
          <w:szCs w:val="18"/>
          <w:shd w:val="clear" w:color="auto" w:fill="auto"/>
          <w:lang w:val="en-US" w:eastAsia="zh-CN" w:bidi="ar-SA"/>
        </w:rPr>
        <w:t>本项目采用雨污分流制，污水通过污水管道收集后排放至污水处理厂进行处理；因周边未建设系统的雨水管网，且多为林地、农田，雨水的环境承载力较高，故雨水排放采用自然散排的方式进行排放。</w:t>
      </w:r>
    </w:p>
    <w:p>
      <w:pPr>
        <w:pStyle w:val="36"/>
        <w:keepNext w:val="0"/>
        <w:keepLines w:val="0"/>
        <w:pageBreakBefore w:val="0"/>
        <w:widowControl w:val="0"/>
        <w:numPr>
          <w:ilvl w:val="0"/>
          <w:numId w:val="41"/>
        </w:numPr>
        <w:kinsoku/>
        <w:wordWrap/>
        <w:overflowPunct/>
        <w:topLinePunct w:val="0"/>
        <w:autoSpaceDE/>
        <w:autoSpaceDN/>
        <w:bidi w:val="0"/>
        <w:adjustRightInd/>
        <w:snapToGrid/>
        <w:spacing w:before="0" w:after="0" w:line="360" w:lineRule="auto"/>
        <w:ind w:left="0" w:leftChars="0" w:firstLine="604" w:firstLineChars="200"/>
        <w:textAlignment w:val="auto"/>
        <w:rPr>
          <w:rFonts w:hint="eastAsia" w:cs="宋体"/>
          <w:color w:val="auto"/>
          <w:spacing w:val="10"/>
          <w:kern w:val="0"/>
          <w:sz w:val="28"/>
          <w:szCs w:val="18"/>
          <w:shd w:val="clear" w:color="auto" w:fill="auto"/>
          <w:lang w:val="en-US" w:eastAsia="zh-CN" w:bidi="ar-SA"/>
        </w:rPr>
      </w:pPr>
      <w:r>
        <w:rPr>
          <w:rFonts w:hint="eastAsia" w:cs="宋体"/>
          <w:color w:val="auto"/>
          <w:spacing w:val="10"/>
          <w:kern w:val="0"/>
          <w:sz w:val="28"/>
          <w:szCs w:val="18"/>
          <w:shd w:val="clear" w:color="auto" w:fill="auto"/>
          <w:lang w:val="en-US" w:eastAsia="zh-CN" w:bidi="ar-SA"/>
        </w:rPr>
        <w:t>本项目DN500以下采用II级钢筋混凝土管，DN500及以上管材采用球墨铸铁管，属高标准管材。</w:t>
      </w:r>
    </w:p>
    <w:p>
      <w:pPr>
        <w:pStyle w:val="36"/>
        <w:keepNext w:val="0"/>
        <w:keepLines w:val="0"/>
        <w:pageBreakBefore w:val="0"/>
        <w:widowControl w:val="0"/>
        <w:numPr>
          <w:ilvl w:val="0"/>
          <w:numId w:val="41"/>
        </w:numPr>
        <w:kinsoku/>
        <w:wordWrap/>
        <w:overflowPunct/>
        <w:topLinePunct w:val="0"/>
        <w:autoSpaceDE/>
        <w:autoSpaceDN/>
        <w:bidi w:val="0"/>
        <w:adjustRightInd/>
        <w:snapToGrid/>
        <w:spacing w:before="0" w:after="0" w:line="360" w:lineRule="auto"/>
        <w:ind w:left="0" w:leftChars="0" w:firstLine="604" w:firstLineChars="200"/>
        <w:textAlignment w:val="auto"/>
        <w:rPr>
          <w:rFonts w:hint="eastAsia" w:cs="宋体"/>
          <w:color w:val="auto"/>
          <w:spacing w:val="10"/>
          <w:kern w:val="0"/>
          <w:sz w:val="28"/>
          <w:szCs w:val="18"/>
          <w:shd w:val="clear" w:color="auto" w:fill="auto"/>
          <w:lang w:val="en-US" w:eastAsia="zh-CN" w:bidi="ar-SA"/>
        </w:rPr>
      </w:pPr>
      <w:r>
        <w:rPr>
          <w:rFonts w:hint="eastAsia" w:cs="宋体"/>
          <w:color w:val="auto"/>
          <w:spacing w:val="10"/>
          <w:kern w:val="0"/>
          <w:sz w:val="28"/>
          <w:szCs w:val="18"/>
          <w:shd w:val="clear" w:color="auto" w:fill="auto"/>
          <w:lang w:val="en-US" w:eastAsia="zh-CN" w:bidi="ar-SA"/>
        </w:rPr>
        <w:t>球墨铸铁管及钢筋混凝土管均采用承插式管道，管道连接处采用橡胶圈（或石棉水泥填缝）密封，并采用DP M20的1:2的水泥砂浆抹带；管道与检查井连接处采用1:2微膨胀水泥砂浆（或橡胶圈）密封，并在管道周围设置钢筋混凝土环箍固定，确保管道密封性，降低管道漏损率以及地下水渗入率。</w:t>
      </w:r>
    </w:p>
    <w:p>
      <w:pPr>
        <w:pStyle w:val="36"/>
        <w:keepNext w:val="0"/>
        <w:keepLines w:val="0"/>
        <w:pageBreakBefore w:val="0"/>
        <w:widowControl w:val="0"/>
        <w:numPr>
          <w:ilvl w:val="0"/>
          <w:numId w:val="41"/>
        </w:numPr>
        <w:kinsoku/>
        <w:wordWrap/>
        <w:overflowPunct/>
        <w:topLinePunct w:val="0"/>
        <w:autoSpaceDE/>
        <w:autoSpaceDN/>
        <w:bidi w:val="0"/>
        <w:adjustRightInd/>
        <w:snapToGrid/>
        <w:spacing w:before="0" w:after="0" w:line="360" w:lineRule="auto"/>
        <w:ind w:left="0" w:leftChars="0" w:firstLine="604" w:firstLineChars="200"/>
        <w:textAlignment w:val="auto"/>
        <w:rPr>
          <w:rFonts w:hint="eastAsia" w:cs="宋体"/>
          <w:color w:val="auto"/>
          <w:spacing w:val="10"/>
          <w:kern w:val="0"/>
          <w:sz w:val="28"/>
          <w:szCs w:val="18"/>
          <w:shd w:val="clear" w:color="auto" w:fill="auto"/>
          <w:lang w:val="en-US" w:eastAsia="zh-CN" w:bidi="ar-SA"/>
        </w:rPr>
      </w:pPr>
      <w:r>
        <w:rPr>
          <w:rFonts w:hint="eastAsia" w:cs="宋体"/>
          <w:color w:val="auto"/>
          <w:spacing w:val="10"/>
          <w:kern w:val="0"/>
          <w:sz w:val="28"/>
          <w:szCs w:val="18"/>
          <w:shd w:val="clear" w:color="auto" w:fill="auto"/>
          <w:lang w:val="en-US" w:eastAsia="zh-CN" w:bidi="ar-SA"/>
        </w:rPr>
        <w:t>本项目主要敷设位置为城市主干道，考虑道路车流量较大，且为部分开挖修复，为保持美观，防止道路下陷，拟采用原状修复，道路修复部分暂不考虑采用海绵型道路。</w:t>
      </w:r>
    </w:p>
    <w:p>
      <w:pPr>
        <w:pStyle w:val="36"/>
        <w:rPr>
          <w:rFonts w:hint="eastAsia" w:ascii="Times" w:hAnsi="Times" w:eastAsia="宋体" w:cs="宋体"/>
          <w:color w:val="auto"/>
          <w:spacing w:val="10"/>
          <w:kern w:val="0"/>
          <w:sz w:val="28"/>
          <w:szCs w:val="18"/>
          <w:shd w:val="clear" w:color="auto" w:fill="auto"/>
          <w:lang w:val="en-US" w:eastAsia="zh-CN" w:bidi="ar-SA"/>
        </w:rPr>
      </w:pPr>
    </w:p>
    <w:p>
      <w:pPr>
        <w:pStyle w:val="38"/>
        <w:numPr>
          <w:ilvl w:val="0"/>
          <w:numId w:val="9"/>
        </w:numPr>
        <w:rPr>
          <w:rFonts w:cs="宋体"/>
          <w:color w:val="auto"/>
          <w:sz w:val="32"/>
          <w:szCs w:val="40"/>
        </w:rPr>
      </w:pPr>
      <w:bookmarkStart w:id="273" w:name="_Toc27253"/>
      <w:r>
        <w:rPr>
          <w:rFonts w:cs="宋体"/>
          <w:color w:val="auto"/>
          <w:sz w:val="32"/>
          <w:szCs w:val="40"/>
        </w:rPr>
        <w:t>结论与建议</w:t>
      </w:r>
      <w:bookmarkEnd w:id="271"/>
      <w:bookmarkEnd w:id="273"/>
    </w:p>
    <w:p>
      <w:pPr>
        <w:pStyle w:val="39"/>
        <w:numPr>
          <w:ilvl w:val="1"/>
          <w:numId w:val="9"/>
        </w:numPr>
        <w:rPr>
          <w:rFonts w:cs="宋体" w:asciiTheme="minorEastAsia" w:hAnsiTheme="minorEastAsia" w:eastAsiaTheme="minorEastAsia"/>
          <w:color w:val="auto"/>
          <w:sz w:val="28"/>
          <w:szCs w:val="28"/>
        </w:rPr>
      </w:pPr>
      <w:bookmarkStart w:id="274" w:name="_Toc500"/>
      <w:bookmarkStart w:id="275" w:name="_Toc23668"/>
      <w:r>
        <w:rPr>
          <w:rFonts w:cs="宋体" w:asciiTheme="minorEastAsia" w:hAnsiTheme="minorEastAsia" w:eastAsiaTheme="minorEastAsia"/>
          <w:color w:val="auto"/>
          <w:sz w:val="28"/>
          <w:szCs w:val="28"/>
        </w:rPr>
        <w:t>结论</w:t>
      </w:r>
      <w:bookmarkEnd w:id="274"/>
      <w:bookmarkEnd w:id="275"/>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工程必要性：实施本项目是贯彻落实国家、省、市相关精神和政策的需要；是实现城市规划目标、配合城市发展建设的需要；是完善流域污水系统的需要；是改善村区环境的需要。因此，项目建设是必要的。</w:t>
      </w:r>
    </w:p>
    <w:p>
      <w:pPr>
        <w:pStyle w:val="39"/>
        <w:numPr>
          <w:ilvl w:val="1"/>
          <w:numId w:val="9"/>
        </w:numPr>
        <w:rPr>
          <w:rFonts w:cs="宋体" w:asciiTheme="minorEastAsia" w:hAnsiTheme="minorEastAsia" w:eastAsiaTheme="minorEastAsia"/>
          <w:color w:val="auto"/>
          <w:sz w:val="28"/>
          <w:szCs w:val="28"/>
        </w:rPr>
      </w:pPr>
      <w:bookmarkStart w:id="276" w:name="_Toc31586"/>
      <w:bookmarkStart w:id="277" w:name="_Toc24236"/>
      <w:r>
        <w:rPr>
          <w:rFonts w:cs="宋体" w:asciiTheme="minorEastAsia" w:hAnsiTheme="minorEastAsia" w:eastAsiaTheme="minorEastAsia"/>
          <w:color w:val="auto"/>
          <w:sz w:val="28"/>
          <w:szCs w:val="28"/>
        </w:rPr>
        <w:t>建议</w:t>
      </w:r>
      <w:bookmarkEnd w:id="276"/>
      <w:bookmarkEnd w:id="277"/>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（1）本工程部分在现状道路下实施污水管，应注意现状地下管线</w:t>
      </w:r>
      <w:r>
        <w:rPr>
          <w:rFonts w:cs="宋体" w:asciiTheme="minorEastAsia" w:hAnsiTheme="minorEastAsia" w:eastAsiaTheme="minorEastAsia"/>
          <w:color w:val="auto"/>
          <w:sz w:val="28"/>
          <w:szCs w:val="21"/>
          <w:highlight w:val="none"/>
        </w:rPr>
        <w:t>的</w:t>
      </w:r>
      <w:r>
        <w:rPr>
          <w:rFonts w:hint="eastAsia" w:cs="宋体" w:asciiTheme="minorEastAsia" w:hAnsiTheme="minorEastAsia" w:eastAsiaTheme="minorEastAsia"/>
          <w:color w:val="auto"/>
          <w:sz w:val="28"/>
          <w:szCs w:val="21"/>
          <w:highlight w:val="none"/>
          <w:lang w:eastAsia="zh-CN"/>
        </w:rPr>
        <w:t>保护和</w:t>
      </w:r>
      <w:r>
        <w:rPr>
          <w:rFonts w:cs="宋体" w:asciiTheme="minorEastAsia" w:hAnsiTheme="minorEastAsia" w:eastAsiaTheme="minorEastAsia"/>
          <w:color w:val="auto"/>
          <w:sz w:val="28"/>
          <w:szCs w:val="21"/>
          <w:highlight w:val="none"/>
        </w:rPr>
        <w:t>避让</w:t>
      </w:r>
      <w:r>
        <w:rPr>
          <w:rFonts w:cs="宋体" w:asciiTheme="minorEastAsia" w:hAnsiTheme="minorEastAsia" w:eastAsiaTheme="minorEastAsia"/>
          <w:color w:val="auto"/>
          <w:sz w:val="28"/>
          <w:szCs w:val="21"/>
        </w:rPr>
        <w:t>问题。</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（2）工程完工后应加强现状与新建管道的后期管养，保障排水顺畅。</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（3）本工程实施</w:t>
      </w:r>
      <w:r>
        <w:rPr>
          <w:rFonts w:hint="eastAsia" w:cs="宋体" w:asciiTheme="minorEastAsia" w:hAnsiTheme="minorEastAsia" w:eastAsiaTheme="minorEastAsia"/>
          <w:color w:val="auto"/>
          <w:sz w:val="28"/>
          <w:szCs w:val="21"/>
          <w:lang w:eastAsia="zh-CN"/>
        </w:rPr>
        <w:t>途径农户用地较多</w:t>
      </w:r>
      <w:r>
        <w:rPr>
          <w:rFonts w:cs="宋体" w:asciiTheme="minorEastAsia" w:hAnsiTheme="minorEastAsia" w:eastAsiaTheme="minorEastAsia"/>
          <w:color w:val="auto"/>
          <w:sz w:val="28"/>
          <w:szCs w:val="21"/>
        </w:rPr>
        <w:t>，建议提前做好宣传、沟通、协调等工作。</w:t>
      </w:r>
    </w:p>
    <w:p>
      <w:pPr>
        <w:ind w:firstLine="565"/>
        <w:rPr>
          <w:rFonts w:cs="宋体" w:asciiTheme="minorEastAsia" w:hAnsiTheme="minorEastAsia" w:eastAsiaTheme="minorEastAsia"/>
          <w:color w:val="auto"/>
          <w:sz w:val="28"/>
          <w:szCs w:val="21"/>
        </w:rPr>
      </w:pPr>
      <w:r>
        <w:rPr>
          <w:rFonts w:cs="宋体" w:asciiTheme="minorEastAsia" w:hAnsiTheme="minorEastAsia" w:eastAsiaTheme="minorEastAsia"/>
          <w:color w:val="auto"/>
          <w:sz w:val="28"/>
          <w:szCs w:val="21"/>
        </w:rPr>
        <w:t>（4）后期运行期间，建议加强对</w:t>
      </w:r>
      <w:r>
        <w:rPr>
          <w:rFonts w:hint="eastAsia" w:cs="宋体" w:asciiTheme="minorEastAsia" w:hAnsiTheme="minorEastAsia" w:eastAsiaTheme="minorEastAsia"/>
          <w:color w:val="auto"/>
          <w:sz w:val="28"/>
          <w:szCs w:val="21"/>
          <w:lang w:eastAsia="zh-CN"/>
        </w:rPr>
        <w:t>污水</w:t>
      </w:r>
      <w:r>
        <w:rPr>
          <w:rFonts w:cs="宋体" w:asciiTheme="minorEastAsia" w:hAnsiTheme="minorEastAsia" w:eastAsiaTheme="minorEastAsia"/>
          <w:color w:val="auto"/>
          <w:sz w:val="28"/>
          <w:szCs w:val="21"/>
        </w:rPr>
        <w:t>井的监测和监管，因为</w:t>
      </w:r>
      <w:r>
        <w:rPr>
          <w:rFonts w:hint="eastAsia" w:cs="宋体" w:asciiTheme="minorEastAsia" w:hAnsiTheme="minorEastAsia" w:eastAsiaTheme="minorEastAsia"/>
          <w:color w:val="auto"/>
          <w:sz w:val="28"/>
          <w:szCs w:val="21"/>
          <w:lang w:eastAsia="zh-CN"/>
        </w:rPr>
        <w:t>污水治理</w:t>
      </w:r>
      <w:r>
        <w:rPr>
          <w:rFonts w:cs="宋体" w:asciiTheme="minorEastAsia" w:hAnsiTheme="minorEastAsia" w:eastAsiaTheme="minorEastAsia"/>
          <w:color w:val="auto"/>
          <w:sz w:val="28"/>
          <w:szCs w:val="21"/>
        </w:rPr>
        <w:t>是个动态过程，需要有动态的监管机制，才能达到长效的管理效果。</w:t>
      </w:r>
    </w:p>
    <w:p>
      <w:pPr>
        <w:pStyle w:val="39"/>
        <w:numPr>
          <w:ilvl w:val="1"/>
          <w:numId w:val="9"/>
        </w:numPr>
        <w:rPr>
          <w:rFonts w:cs="宋体" w:asciiTheme="minorEastAsia" w:hAnsiTheme="minorEastAsia" w:eastAsiaTheme="minorEastAsia"/>
          <w:color w:val="auto"/>
          <w:sz w:val="28"/>
          <w:szCs w:val="28"/>
        </w:rPr>
      </w:pPr>
      <w:bookmarkStart w:id="278" w:name="_Toc6041"/>
      <w:r>
        <w:rPr>
          <w:rFonts w:hint="eastAsia" w:cs="宋体" w:asciiTheme="minorEastAsia" w:hAnsiTheme="minorEastAsia" w:eastAsiaTheme="minorEastAsia"/>
          <w:color w:val="auto"/>
          <w:sz w:val="28"/>
          <w:szCs w:val="28"/>
          <w:lang w:eastAsia="zh-CN"/>
        </w:rPr>
        <w:t>附件</w:t>
      </w:r>
      <w:bookmarkEnd w:id="278"/>
    </w:p>
    <w:p>
      <w:pPr>
        <w:numPr>
          <w:ilvl w:val="0"/>
          <w:numId w:val="7"/>
        </w:numPr>
        <w:ind w:left="5" w:firstLine="415" w:firstLineChars="0"/>
        <w:rPr>
          <w:rFonts w:hint="eastAsia" w:cs="宋体" w:asciiTheme="minorEastAsia" w:hAnsiTheme="minorEastAsia" w:eastAsiaTheme="minorEastAsia"/>
          <w:color w:val="auto"/>
          <w:sz w:val="28"/>
          <w:szCs w:val="21"/>
        </w:rPr>
      </w:pPr>
      <w:r>
        <w:rPr>
          <w:rFonts w:hint="eastAsia" w:eastAsia="宋体" w:cs="Times New Roman" w:asciiTheme="minorEastAsia" w:hAnsiTheme="minorEastAsia"/>
          <w:color w:val="auto"/>
          <w:kern w:val="2"/>
          <w:sz w:val="28"/>
          <w:szCs w:val="21"/>
          <w:highlight w:val="none"/>
          <w:lang w:val="en-US" w:eastAsia="zh-CN" w:bidi="ar-SA"/>
        </w:rPr>
        <w:t>附件一：</w:t>
      </w:r>
      <w:r>
        <w:rPr>
          <w:rFonts w:hint="eastAsia"/>
          <w:lang w:val="en-US" w:eastAsia="zh-CN"/>
        </w:rPr>
        <w:t>穗从发改投批[2023]48号《广州市从化区发展和改革局关于从化区江埔街Y523片区雨污分流工程项目可行性研究报告的复函》</w:t>
      </w:r>
    </w:p>
    <w:p>
      <w:pPr>
        <w:keepNext w:val="0"/>
        <w:keepLines w:val="0"/>
        <w:pageBreakBefore w:val="0"/>
        <w:kinsoku/>
        <w:wordWrap/>
        <w:overflowPunct/>
        <w:topLinePunct w:val="0"/>
        <w:autoSpaceDE/>
        <w:autoSpaceDN/>
        <w:bidi w:val="0"/>
        <w:adjustRightInd/>
        <w:snapToGrid/>
        <w:ind w:left="0" w:leftChars="0" w:firstLine="0" w:firstLineChars="0"/>
        <w:jc w:val="center"/>
        <w:textAlignment w:val="auto"/>
        <w:rPr>
          <w:rFonts w:hint="default" w:eastAsia="宋体"/>
          <w:lang w:val="en-US" w:eastAsia="zh-CN"/>
        </w:rPr>
      </w:pPr>
      <w:r>
        <w:drawing>
          <wp:inline distT="0" distB="0" distL="114300" distR="114300">
            <wp:extent cx="5701665" cy="7973695"/>
            <wp:effectExtent l="0" t="0" r="13335" b="8255"/>
            <wp:docPr id="1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2"/>
                    <pic:cNvPicPr>
                      <a:picLocks noChangeAspect="1"/>
                    </pic:cNvPicPr>
                  </pic:nvPicPr>
                  <pic:blipFill>
                    <a:blip r:embed="rId107"/>
                    <a:stretch>
                      <a:fillRect/>
                    </a:stretch>
                  </pic:blipFill>
                  <pic:spPr>
                    <a:xfrm>
                      <a:off x="0" y="0"/>
                      <a:ext cx="5701665" cy="797369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ind w:left="0" w:leftChars="0" w:firstLine="0" w:firstLineChars="0"/>
        <w:jc w:val="center"/>
        <w:textAlignment w:val="auto"/>
        <w:rPr>
          <w:rFonts w:hint="default" w:cs="宋体"/>
          <w:color w:val="auto"/>
          <w:sz w:val="28"/>
          <w:szCs w:val="21"/>
          <w:lang w:val="en-US" w:eastAsia="zh-CN"/>
        </w:rPr>
      </w:pPr>
    </w:p>
    <w:p>
      <w:pPr>
        <w:pStyle w:val="30"/>
        <w:keepNext w:val="0"/>
        <w:keepLines w:val="0"/>
        <w:pageBreakBefore w:val="0"/>
        <w:kinsoku/>
        <w:wordWrap/>
        <w:overflowPunct/>
        <w:topLinePunct w:val="0"/>
        <w:autoSpaceDE/>
        <w:autoSpaceDN/>
        <w:bidi w:val="0"/>
        <w:adjustRightInd/>
        <w:snapToGrid/>
        <w:ind w:firstLine="0" w:firstLineChars="0"/>
        <w:jc w:val="center"/>
        <w:textAlignment w:val="auto"/>
      </w:pPr>
      <w:r>
        <w:drawing>
          <wp:inline distT="0" distB="0" distL="114300" distR="114300">
            <wp:extent cx="5825490" cy="8077835"/>
            <wp:effectExtent l="0" t="0" r="3810" b="18415"/>
            <wp:docPr id="1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3"/>
                    <pic:cNvPicPr>
                      <a:picLocks noChangeAspect="1"/>
                    </pic:cNvPicPr>
                  </pic:nvPicPr>
                  <pic:blipFill>
                    <a:blip r:embed="rId108"/>
                    <a:stretch>
                      <a:fillRect/>
                    </a:stretch>
                  </pic:blipFill>
                  <pic:spPr>
                    <a:xfrm>
                      <a:off x="0" y="0"/>
                      <a:ext cx="5825490" cy="8077835"/>
                    </a:xfrm>
                    <a:prstGeom prst="rect">
                      <a:avLst/>
                    </a:prstGeom>
                    <a:noFill/>
                    <a:ln>
                      <a:noFill/>
                    </a:ln>
                  </pic:spPr>
                </pic:pic>
              </a:graphicData>
            </a:graphic>
          </wp:inline>
        </w:drawing>
      </w:r>
    </w:p>
    <w:p>
      <w:pPr>
        <w:pStyle w:val="30"/>
        <w:keepNext w:val="0"/>
        <w:keepLines w:val="0"/>
        <w:pageBreakBefore w:val="0"/>
        <w:kinsoku/>
        <w:wordWrap/>
        <w:overflowPunct/>
        <w:topLinePunct w:val="0"/>
        <w:autoSpaceDE/>
        <w:autoSpaceDN/>
        <w:bidi w:val="0"/>
        <w:adjustRightInd/>
        <w:snapToGrid/>
        <w:ind w:firstLine="0" w:firstLineChars="0"/>
        <w:jc w:val="center"/>
        <w:textAlignment w:val="auto"/>
      </w:pPr>
    </w:p>
    <w:p>
      <w:pPr>
        <w:pStyle w:val="30"/>
        <w:keepNext w:val="0"/>
        <w:keepLines w:val="0"/>
        <w:pageBreakBefore w:val="0"/>
        <w:widowControl/>
        <w:kinsoku/>
        <w:wordWrap/>
        <w:overflowPunct/>
        <w:topLinePunct w:val="0"/>
        <w:autoSpaceDE/>
        <w:autoSpaceDN/>
        <w:bidi w:val="0"/>
        <w:adjustRightInd/>
        <w:snapToGrid/>
        <w:ind w:left="0" w:firstLine="0" w:firstLineChars="0"/>
        <w:jc w:val="center"/>
        <w:textAlignment w:val="auto"/>
        <w:rPr>
          <w:rFonts w:hint="default"/>
          <w:lang w:val="en-US" w:eastAsia="zh-CN"/>
        </w:rPr>
      </w:pPr>
      <w:r>
        <w:drawing>
          <wp:inline distT="0" distB="0" distL="114300" distR="114300">
            <wp:extent cx="5822950" cy="7903210"/>
            <wp:effectExtent l="0" t="0" r="6350" b="2540"/>
            <wp:docPr id="1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4"/>
                    <pic:cNvPicPr>
                      <a:picLocks noChangeAspect="1"/>
                    </pic:cNvPicPr>
                  </pic:nvPicPr>
                  <pic:blipFill>
                    <a:blip r:embed="rId109"/>
                    <a:stretch>
                      <a:fillRect/>
                    </a:stretch>
                  </pic:blipFill>
                  <pic:spPr>
                    <a:xfrm>
                      <a:off x="0" y="0"/>
                      <a:ext cx="5822950" cy="7903210"/>
                    </a:xfrm>
                    <a:prstGeom prst="rect">
                      <a:avLst/>
                    </a:prstGeom>
                    <a:noFill/>
                    <a:ln>
                      <a:noFill/>
                    </a:ln>
                  </pic:spPr>
                </pic:pic>
              </a:graphicData>
            </a:graphic>
          </wp:inline>
        </w:drawing>
      </w:r>
    </w:p>
    <w:sectPr>
      <w:pgSz w:w="11906" w:h="16838"/>
      <w:pgMar w:top="1440" w:right="1080" w:bottom="1440" w:left="1080" w:header="851" w:footer="992" w:gutter="567"/>
      <w:pgBorders>
        <w:top w:val="none" w:sz="0" w:space="0"/>
        <w:left w:val="none" w:sz="0" w:space="0"/>
        <w:bottom w:val="none" w:sz="0" w:space="0"/>
        <w:right w:val="none" w:sz="0" w:space="0"/>
      </w:pgBorders>
      <w:pgNumType w:fmt="decimal"/>
      <w:cols w:space="425" w:num="1"/>
      <w:docGrid w:type="linesAndChars" w:linePitch="388" w:charSpace="5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4"/>
      </w:pPr>
      <w:r>
        <w:separator/>
      </w:r>
    </w:p>
  </w:endnote>
  <w:endnote w:type="continuationSeparator" w:id="1">
    <w:p>
      <w:pPr>
        <w:spacing w:line="240" w:lineRule="auto"/>
        <w:ind w:firstLine="564"/>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altName w:val="仿宋"/>
    <w:panose1 w:val="02010609030101010101"/>
    <w:charset w:val="86"/>
    <w:family w:val="modern"/>
    <w:pitch w:val="default"/>
    <w:sig w:usb0="00000000" w:usb1="00000000" w:usb2="00000010" w:usb3="00000000" w:csb0="00040000" w:csb1="00000000"/>
  </w:font>
  <w:font w:name="Cambria">
    <w:panose1 w:val="02040503050406030204"/>
    <w:charset w:val="00"/>
    <w:family w:val="roman"/>
    <w:pitch w:val="default"/>
    <w:sig w:usb0="E00002FF" w:usb1="400004FF" w:usb2="00000000" w:usb3="00000000" w:csb0="2000019F" w:csb1="00000000"/>
  </w:font>
  <w:font w:name="Times">
    <w:altName w:val="Times New Roman"/>
    <w:panose1 w:val="02020603050405020304"/>
    <w:charset w:val="00"/>
    <w:family w:val="roman"/>
    <w:pitch w:val="default"/>
    <w:sig w:usb0="00000000" w:usb1="00000000" w:usb2="00000000" w:usb3="00000000" w:csb0="00000001" w:csb1="00000000"/>
  </w:font>
  <w:font w:name="微软雅黑">
    <w:panose1 w:val="020B0503020204020204"/>
    <w:charset w:val="86"/>
    <w:family w:val="swiss"/>
    <w:pitch w:val="default"/>
    <w:sig w:usb0="80000287" w:usb1="280F3C52" w:usb2="00000016" w:usb3="00000000" w:csb0="0004001F" w:csb1="00000000"/>
  </w:font>
  <w:font w:name="仿宋">
    <w:panose1 w:val="02010609060101010101"/>
    <w:charset w:val="86"/>
    <w:family w:val="modern"/>
    <w:pitch w:val="default"/>
    <w:sig w:usb0="800002BF" w:usb1="38CF7CFA" w:usb2="00000016" w:usb3="00000000" w:csb0="00040001" w:csb1="00000000"/>
  </w:font>
  <w:font w:name="仿宋A...嬀.">
    <w:altName w:val="仿宋"/>
    <w:panose1 w:val="00000000000000000000"/>
    <w:charset w:val="86"/>
    <w:family w:val="roman"/>
    <w:pitch w:val="default"/>
    <w:sig w:usb0="00000000" w:usb1="00000000" w:usb2="00000000" w:usb3="00000000" w:csb0="00040000" w:csb1="00000000"/>
  </w:font>
  <w:font w:name="MS Sans Serif">
    <w:altName w:val="Arial"/>
    <w:panose1 w:val="020B0500000000000000"/>
    <w:charset w:val="00"/>
    <w:family w:val="swiss"/>
    <w:pitch w:val="default"/>
    <w:sig w:usb0="00000000" w:usb1="00000000" w:usb2="00000000" w:usb3="00000000" w:csb0="00000001" w:csb1="00000000"/>
  </w:font>
  <w:font w:name="榛戜綋">
    <w:altName w:val="宋体"/>
    <w:panose1 w:val="00000000000000000000"/>
    <w:charset w:val="86"/>
    <w:family w:val="auto"/>
    <w:pitch w:val="default"/>
    <w:sig w:usb0="00000000" w:usb1="00000000" w:usb2="00000000" w:usb3="00000000" w:csb0="00040000" w:csb1="00000000"/>
  </w:font>
  <w:font w:name="MicrosoftYaHei-Bold">
    <w:altName w:val="宋体"/>
    <w:panose1 w:val="00000000000000000000"/>
    <w:charset w:val="86"/>
    <w:family w:val="auto"/>
    <w:pitch w:val="default"/>
    <w:sig w:usb0="00000000" w:usb1="00000000" w:usb2="00000000" w:usb3="00000000" w:csb0="00040000" w:csb1="00000000"/>
  </w:font>
  <w:font w:name="Segoe UI">
    <w:panose1 w:val="020B0502040204020203"/>
    <w:charset w:val="00"/>
    <w:family w:val="auto"/>
    <w:pitch w:val="default"/>
    <w:sig w:usb0="E10022FF" w:usb1="C000E47F" w:usb2="00000029" w:usb3="00000000" w:csb0="200001DF" w:csb1="2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top w:val="none" w:color="auto" w:sz="0" w:space="1"/>
        <w:left w:val="none" w:color="auto" w:sz="0" w:space="4"/>
        <w:bottom w:val="none" w:color="auto" w:sz="0" w:space="1"/>
        <w:right w:val="none" w:color="auto" w:sz="0" w:space="4"/>
        <w:between w:val="none" w:color="auto" w:sz="0" w:space="0"/>
      </w:pBdr>
      <w:ind w:firstLine="560"/>
      <w:jc w:val="right"/>
    </w:pPr>
  </w:p>
  <w:p>
    <w:pPr>
      <w:pStyle w:val="21"/>
      <w:pBdr>
        <w:top w:val="single" w:color="auto" w:sz="4" w:space="1"/>
        <w:left w:val="none" w:color="auto" w:sz="0" w:space="4"/>
        <w:bottom w:val="none" w:color="auto" w:sz="0" w:space="1"/>
        <w:right w:val="none" w:color="auto" w:sz="0" w:space="4"/>
        <w:between w:val="none" w:color="auto" w:sz="0" w:space="0"/>
      </w:pBdr>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top w:val="single" w:color="auto" w:sz="4" w:space="1"/>
        <w:left w:val="none" w:color="auto" w:sz="0" w:space="4"/>
        <w:bottom w:val="none" w:color="auto" w:sz="0" w:space="1"/>
        <w:right w:val="none" w:color="auto" w:sz="0" w:space="4"/>
        <w:between w:val="none" w:color="auto" w:sz="0" w:space="0"/>
      </w:pBdr>
      <w:ind w:firstLine="560"/>
      <w:jc w:val="right"/>
    </w:pPr>
    <w:r>
      <w:rPr>
        <w:rFonts w:hint="eastAsia" w:ascii="宋体" w:hAnsi="MS Sans Serif" w:eastAsia="宋体"/>
        <w:kern w:val="0"/>
        <w:sz w:val="28"/>
        <w:szCs w:val="32"/>
        <w:lang w:eastAsia="zh-CN"/>
      </w:rPr>
      <w:drawing>
        <wp:anchor distT="0" distB="0" distL="114300" distR="114300" simplePos="0" relativeHeight="251661312" behindDoc="0" locked="0" layoutInCell="1" allowOverlap="1">
          <wp:simplePos x="0" y="0"/>
          <wp:positionH relativeFrom="column">
            <wp:posOffset>3404870</wp:posOffset>
          </wp:positionH>
          <wp:positionV relativeFrom="paragraph">
            <wp:posOffset>97155</wp:posOffset>
          </wp:positionV>
          <wp:extent cx="2482215" cy="401955"/>
          <wp:effectExtent l="0" t="0" r="13335" b="17145"/>
          <wp:wrapTopAndBottom/>
          <wp:docPr id="130" name="图片 4" descr="广州市城建规划设计院有限公司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4" descr="广州市城建规划设计院有限公司6"/>
                  <pic:cNvPicPr>
                    <a:picLocks noChangeAspect="1"/>
                  </pic:cNvPicPr>
                </pic:nvPicPr>
                <pic:blipFill>
                  <a:blip r:embed="rId1"/>
                  <a:srcRect t="39967" b="39771"/>
                  <a:stretch>
                    <a:fillRect/>
                  </a:stretch>
                </pic:blipFill>
                <pic:spPr>
                  <a:xfrm>
                    <a:off x="0" y="0"/>
                    <a:ext cx="2482215" cy="401955"/>
                  </a:xfrm>
                  <a:prstGeom prst="rect">
                    <a:avLst/>
                  </a:prstGeom>
                  <a:noFill/>
                  <a:ln>
                    <a:noFill/>
                  </a:ln>
                </pic:spPr>
              </pic:pic>
            </a:graphicData>
          </a:graphic>
        </wp:anchor>
      </w:drawing>
    </w: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00" name="文本框 10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pBdr>
                              <w:top w:val="none" w:color="auto" w:sz="0" w:space="1"/>
                              <w:left w:val="none" w:color="auto" w:sz="0" w:space="4"/>
                              <w:bottom w:val="none" w:color="auto" w:sz="0" w:space="1"/>
                              <w:right w:val="none" w:color="auto" w:sz="0" w:space="4"/>
                              <w:between w:val="none" w:color="auto" w:sz="0" w:space="0"/>
                            </w:pBdr>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TnCo8x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5wqPMQIAAGUEAAAOAAAAAAAAAAEAIAAAAB8BAABkcnMvZTJvRG9jLnhtbFBLBQYA&#10;AAAABgAGAFkBAADCBQAAAAA=&#10;">
              <v:fill on="f" focussize="0,0"/>
              <v:stroke on="f" weight="0.5pt"/>
              <v:imagedata o:title=""/>
              <o:lock v:ext="edit" aspectratio="f"/>
              <v:textbox inset="0mm,0mm,0mm,0mm" style="mso-fit-shape-to-text:t;">
                <w:txbxContent>
                  <w:p>
                    <w:pPr>
                      <w:pStyle w:val="21"/>
                      <w:pBdr>
                        <w:top w:val="none" w:color="auto" w:sz="0" w:space="1"/>
                        <w:left w:val="none" w:color="auto" w:sz="0" w:space="4"/>
                        <w:bottom w:val="none" w:color="auto" w:sz="0" w:space="1"/>
                        <w:right w:val="none" w:color="auto" w:sz="0" w:space="4"/>
                        <w:between w:val="none" w:color="auto" w:sz="0" w:space="0"/>
                      </w:pBdr>
                    </w:pPr>
                  </w:p>
                </w:txbxContent>
              </v:textbox>
            </v:shape>
          </w:pict>
        </mc:Fallback>
      </mc:AlternateContent>
    </w:r>
  </w:p>
  <w:p>
    <w:pPr>
      <w:pStyle w:val="21"/>
      <w:pBdr>
        <w:top w:val="none" w:color="auto" w:sz="0" w:space="1"/>
        <w:left w:val="none" w:color="auto" w:sz="0" w:space="4"/>
        <w:bottom w:val="none" w:color="auto" w:sz="0" w:space="1"/>
        <w:right w:val="none" w:color="auto" w:sz="0" w:space="4"/>
        <w:between w:val="none" w:color="auto" w:sz="0" w:space="0"/>
      </w:pBdr>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4"/>
      </w:pPr>
      <w:r>
        <w:separator/>
      </w:r>
    </w:p>
  </w:footnote>
  <w:footnote w:type="continuationSeparator" w:id="1">
    <w:p>
      <w:pPr>
        <w:spacing w:line="360" w:lineRule="auto"/>
        <w:ind w:firstLine="564"/>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Bdr>
        <w:top w:val="none" w:color="auto" w:sz="0" w:space="1"/>
        <w:left w:val="none" w:color="auto" w:sz="0" w:space="4"/>
        <w:bottom w:val="none" w:color="auto" w:sz="0" w:space="1"/>
        <w:right w:val="none" w:color="auto" w:sz="0" w:space="4"/>
        <w:between w:val="none" w:color="auto" w:sz="0" w:space="0"/>
      </w:pBdr>
      <w:ind w:firstLine="210" w:firstLineChars="100"/>
      <w:jc w:val="left"/>
      <w:rPr>
        <w:sz w:val="21"/>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Bdr>
        <w:top w:val="none" w:color="auto" w:sz="0" w:space="1"/>
        <w:left w:val="none" w:color="auto" w:sz="0" w:space="4"/>
        <w:bottom w:val="single" w:color="auto" w:sz="4" w:space="1"/>
        <w:right w:val="none" w:color="auto" w:sz="0" w:space="4"/>
        <w:between w:val="none" w:color="auto" w:sz="0" w:space="0"/>
      </w:pBdr>
      <w:ind w:firstLine="210" w:firstLineChars="100"/>
      <w:jc w:val="left"/>
      <w:rPr>
        <w:sz w:val="21"/>
        <w:szCs w:val="21"/>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Bdr>
        <w:bottom w:val="single" w:color="auto" w:sz="4" w:space="1"/>
      </w:pBdr>
      <w:ind w:firstLine="210" w:firstLineChars="100"/>
      <w:jc w:val="center"/>
      <w:rPr>
        <w:rFonts w:hint="default" w:cs="宋体"/>
        <w:sz w:val="21"/>
        <w:szCs w:val="21"/>
        <w:lang w:val="en-US"/>
      </w:rPr>
    </w:pPr>
    <w:r>
      <w:rPr>
        <w:sz w:val="21"/>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3"/>
                            <w:rPr>
                              <w:rFonts w:cs="宋体"/>
                            </w:rPr>
                          </w:pPr>
                          <w:r>
                            <w:rPr>
                              <w:rFonts w:cs="宋体"/>
                            </w:rPr>
                            <w:t xml:space="preserve">第 </w:t>
                          </w:r>
                          <w:r>
                            <w:rPr>
                              <w:rFonts w:cs="宋体"/>
                            </w:rPr>
                            <w:fldChar w:fldCharType="begin"/>
                          </w:r>
                          <w:r>
                            <w:rPr>
                              <w:rFonts w:cs="宋体"/>
                            </w:rPr>
                            <w:instrText xml:space="preserve"> PAGE  \* MERGEFORMAT </w:instrText>
                          </w:r>
                          <w:r>
                            <w:rPr>
                              <w:rFonts w:cs="宋体"/>
                            </w:rPr>
                            <w:fldChar w:fldCharType="separate"/>
                          </w:r>
                          <w:r>
                            <w:rPr>
                              <w:rFonts w:cs="宋体"/>
                            </w:rPr>
                            <w:t>1</w:t>
                          </w:r>
                          <w:r>
                            <w:rPr>
                              <w:rFonts w:cs="宋体"/>
                            </w:rPr>
                            <w:fldChar w:fldCharType="end"/>
                          </w:r>
                          <w:r>
                            <w:rPr>
                              <w:rFonts w:cs="宋体"/>
                            </w:rP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pPr>
                      <w:pStyle w:val="23"/>
                      <w:rPr>
                        <w:rFonts w:cs="宋体"/>
                      </w:rPr>
                    </w:pPr>
                    <w:r>
                      <w:rPr>
                        <w:rFonts w:cs="宋体"/>
                      </w:rPr>
                      <w:t xml:space="preserve">第 </w:t>
                    </w:r>
                    <w:r>
                      <w:rPr>
                        <w:rFonts w:cs="宋体"/>
                      </w:rPr>
                      <w:fldChar w:fldCharType="begin"/>
                    </w:r>
                    <w:r>
                      <w:rPr>
                        <w:rFonts w:cs="宋体"/>
                      </w:rPr>
                      <w:instrText xml:space="preserve"> PAGE  \* MERGEFORMAT </w:instrText>
                    </w:r>
                    <w:r>
                      <w:rPr>
                        <w:rFonts w:cs="宋体"/>
                      </w:rPr>
                      <w:fldChar w:fldCharType="separate"/>
                    </w:r>
                    <w:r>
                      <w:rPr>
                        <w:rFonts w:cs="宋体"/>
                      </w:rPr>
                      <w:t>1</w:t>
                    </w:r>
                    <w:r>
                      <w:rPr>
                        <w:rFonts w:cs="宋体"/>
                      </w:rPr>
                      <w:fldChar w:fldCharType="end"/>
                    </w:r>
                    <w:r>
                      <w:rPr>
                        <w:rFonts w:cs="宋体"/>
                      </w:rPr>
                      <w:t xml:space="preserve"> 页</w:t>
                    </w:r>
                  </w:p>
                </w:txbxContent>
              </v:textbox>
            </v:shape>
          </w:pict>
        </mc:Fallback>
      </mc:AlternateContent>
    </w:r>
    <w:r>
      <w:rPr>
        <w:rFonts w:hint="eastAsia"/>
        <w:sz w:val="21"/>
        <w:lang w:eastAsia="zh-CN"/>
      </w:rPr>
      <w:t>从化区江埔街Y523片区雨污分流工程——初步设计说明</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BC88F5"/>
    <w:multiLevelType w:val="singleLevel"/>
    <w:tmpl w:val="83BC88F5"/>
    <w:lvl w:ilvl="0" w:tentative="0">
      <w:start w:val="1"/>
      <w:numFmt w:val="decimal"/>
      <w:suff w:val="nothing"/>
      <w:lvlText w:val="%1、"/>
      <w:lvlJc w:val="left"/>
    </w:lvl>
  </w:abstractNum>
  <w:abstractNum w:abstractNumId="1">
    <w:nsid w:val="A7C57671"/>
    <w:multiLevelType w:val="singleLevel"/>
    <w:tmpl w:val="A7C57671"/>
    <w:lvl w:ilvl="0" w:tentative="0">
      <w:start w:val="1"/>
      <w:numFmt w:val="decimal"/>
      <w:lvlText w:val="%1."/>
      <w:lvlJc w:val="left"/>
      <w:pPr>
        <w:ind w:left="425" w:hanging="425"/>
      </w:pPr>
      <w:rPr>
        <w:rFonts w:hint="default"/>
      </w:rPr>
    </w:lvl>
  </w:abstractNum>
  <w:abstractNum w:abstractNumId="2">
    <w:nsid w:val="AD66F93E"/>
    <w:multiLevelType w:val="singleLevel"/>
    <w:tmpl w:val="AD66F93E"/>
    <w:lvl w:ilvl="0" w:tentative="0">
      <w:start w:val="1"/>
      <w:numFmt w:val="decimal"/>
      <w:lvlText w:val="(%1)"/>
      <w:lvlJc w:val="left"/>
      <w:pPr>
        <w:ind w:left="425" w:hanging="425"/>
      </w:pPr>
      <w:rPr>
        <w:rFonts w:hint="default"/>
      </w:rPr>
    </w:lvl>
  </w:abstractNum>
  <w:abstractNum w:abstractNumId="3">
    <w:nsid w:val="B6A16E94"/>
    <w:multiLevelType w:val="singleLevel"/>
    <w:tmpl w:val="B6A16E94"/>
    <w:lvl w:ilvl="0" w:tentative="0">
      <w:start w:val="1"/>
      <w:numFmt w:val="bullet"/>
      <w:lvlText w:val=""/>
      <w:lvlJc w:val="left"/>
      <w:pPr>
        <w:ind w:left="420" w:hanging="420"/>
      </w:pPr>
      <w:rPr>
        <w:rFonts w:hint="default" w:ascii="Wingdings" w:hAnsi="Wingdings"/>
      </w:rPr>
    </w:lvl>
  </w:abstractNum>
  <w:abstractNum w:abstractNumId="4">
    <w:nsid w:val="BD61E82D"/>
    <w:multiLevelType w:val="singleLevel"/>
    <w:tmpl w:val="BD61E82D"/>
    <w:lvl w:ilvl="0" w:tentative="0">
      <w:start w:val="1"/>
      <w:numFmt w:val="decimal"/>
      <w:suff w:val="space"/>
      <w:lvlText w:val="（%1）"/>
      <w:lvlJc w:val="left"/>
    </w:lvl>
  </w:abstractNum>
  <w:abstractNum w:abstractNumId="5">
    <w:nsid w:val="C9C0474B"/>
    <w:multiLevelType w:val="singleLevel"/>
    <w:tmpl w:val="C9C0474B"/>
    <w:lvl w:ilvl="0" w:tentative="0">
      <w:start w:val="11"/>
      <w:numFmt w:val="upperLetter"/>
      <w:suff w:val="nothing"/>
      <w:lvlText w:val="%1-"/>
      <w:lvlJc w:val="left"/>
    </w:lvl>
  </w:abstractNum>
  <w:abstractNum w:abstractNumId="6">
    <w:nsid w:val="CDA48CF6"/>
    <w:multiLevelType w:val="singleLevel"/>
    <w:tmpl w:val="CDA48CF6"/>
    <w:lvl w:ilvl="0" w:tentative="0">
      <w:start w:val="1"/>
      <w:numFmt w:val="chineseCounting"/>
      <w:suff w:val="space"/>
      <w:lvlText w:val="%1、"/>
      <w:lvlJc w:val="left"/>
      <w:rPr>
        <w:rFonts w:hint="eastAsia"/>
      </w:rPr>
    </w:lvl>
  </w:abstractNum>
  <w:abstractNum w:abstractNumId="7">
    <w:nsid w:val="D5782EBF"/>
    <w:multiLevelType w:val="multilevel"/>
    <w:tmpl w:val="D5782EBF"/>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8">
    <w:nsid w:val="DDB8BAE0"/>
    <w:multiLevelType w:val="singleLevel"/>
    <w:tmpl w:val="DDB8BAE0"/>
    <w:lvl w:ilvl="0" w:tentative="0">
      <w:start w:val="1"/>
      <w:numFmt w:val="chineseCounting"/>
      <w:suff w:val="space"/>
      <w:lvlText w:val="%1、"/>
      <w:lvlJc w:val="left"/>
      <w:rPr>
        <w:rFonts w:hint="eastAsia"/>
      </w:rPr>
    </w:lvl>
  </w:abstractNum>
  <w:abstractNum w:abstractNumId="9">
    <w:nsid w:val="E1E8D8DC"/>
    <w:multiLevelType w:val="singleLevel"/>
    <w:tmpl w:val="E1E8D8DC"/>
    <w:lvl w:ilvl="0" w:tentative="0">
      <w:start w:val="1"/>
      <w:numFmt w:val="decimal"/>
      <w:suff w:val="nothing"/>
      <w:lvlText w:val="%1、"/>
      <w:lvlJc w:val="left"/>
    </w:lvl>
  </w:abstractNum>
  <w:abstractNum w:abstractNumId="10">
    <w:nsid w:val="E30A3EDF"/>
    <w:multiLevelType w:val="multilevel"/>
    <w:tmpl w:val="E30A3EDF"/>
    <w:lvl w:ilvl="0" w:tentative="0">
      <w:start w:val="1"/>
      <w:numFmt w:val="decimal"/>
      <w:lvlText w:val="第%1章"/>
      <w:lvlJc w:val="left"/>
      <w:pPr>
        <w:ind w:left="420" w:hanging="420"/>
      </w:pPr>
      <w:rPr>
        <w:rFonts w:hint="default"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1" w:tentative="0">
      <w:start w:val="1"/>
      <w:numFmt w:val="decimal"/>
      <w:lvlText w:val="%1.%2"/>
      <w:lvlJc w:val="left"/>
      <w:pPr>
        <w:tabs>
          <w:tab w:val="left" w:pos="142"/>
        </w:tabs>
        <w:ind w:left="709" w:hanging="567"/>
      </w:pPr>
      <w:rPr>
        <w:rFonts w:hint="eastAsia"/>
      </w:rPr>
    </w:lvl>
    <w:lvl w:ilvl="2" w:tentative="0">
      <w:start w:val="1"/>
      <w:numFmt w:val="decimal"/>
      <w:lvlText w:val="%1.%2.%3"/>
      <w:lvlJc w:val="left"/>
      <w:pPr>
        <w:tabs>
          <w:tab w:val="left" w:pos="0"/>
        </w:tabs>
        <w:ind w:left="709" w:hanging="709"/>
      </w:pPr>
      <w:rPr>
        <w:rFonts w:hint="eastAsia"/>
        <w:sz w:val="28"/>
        <w:szCs w:val="28"/>
      </w:rPr>
    </w:lvl>
    <w:lvl w:ilvl="3" w:tentative="0">
      <w:start w:val="1"/>
      <w:numFmt w:val="decimal"/>
      <w:lvlText w:val="%1.%2.%3.%4"/>
      <w:lvlJc w:val="left"/>
      <w:pPr>
        <w:tabs>
          <w:tab w:val="left" w:pos="0"/>
        </w:tabs>
        <w:ind w:left="851" w:hanging="851"/>
      </w:pPr>
      <w:rPr>
        <w:rFonts w:hint="default" w:ascii="宋体" w:hAnsi="宋体" w:eastAsia="宋体" w:cs="宋体"/>
      </w:rPr>
    </w:lvl>
    <w:lvl w:ilvl="4" w:tentative="0">
      <w:start w:val="1"/>
      <w:numFmt w:val="decimal"/>
      <w:lvlText w:val="%1.%2.%3.%4.%5."/>
      <w:lvlJc w:val="left"/>
      <w:pPr>
        <w:tabs>
          <w:tab w:val="left" w:pos="0"/>
        </w:tabs>
        <w:ind w:left="992" w:hanging="992"/>
      </w:pPr>
      <w:rPr>
        <w:rFonts w:hint="default" w:ascii="宋体" w:hAnsi="宋体" w:eastAsia="宋体" w:cs="宋体"/>
      </w:rPr>
    </w:lvl>
    <w:lvl w:ilvl="5" w:tentative="0">
      <w:start w:val="1"/>
      <w:numFmt w:val="decimal"/>
      <w:lvlRestart w:val="2"/>
      <w:pStyle w:val="100"/>
      <w:lvlText w:val="表 %1-%2-%6"/>
      <w:lvlJc w:val="center"/>
      <w:pPr>
        <w:tabs>
          <w:tab w:val="left" w:pos="1134"/>
        </w:tabs>
        <w:ind w:left="0" w:firstLine="1134"/>
      </w:pPr>
      <w:rPr>
        <w:rFonts w:hint="default" w:ascii="宋体" w:hAnsi="宋体" w:eastAsia="宋体" w:cs="宋体"/>
      </w:rPr>
    </w:lvl>
    <w:lvl w:ilvl="6" w:tentative="0">
      <w:start w:val="1"/>
      <w:numFmt w:val="decimal"/>
      <w:lvlRestart w:val="2"/>
      <w:lvlText w:val="图 %1-%2-%7"/>
      <w:lvlJc w:val="center"/>
      <w:pPr>
        <w:tabs>
          <w:tab w:val="left" w:pos="1134"/>
        </w:tabs>
        <w:ind w:left="0" w:firstLine="1134"/>
      </w:pPr>
      <w:rPr>
        <w:rFonts w:hint="default" w:ascii="宋体" w:hAnsi="宋体" w:eastAsia="宋体" w:cs="宋体"/>
      </w:rPr>
    </w:lvl>
    <w:lvl w:ilvl="7" w:tentative="0">
      <w:start w:val="1"/>
      <w:numFmt w:val="none"/>
      <w:lvlRestart w:val="2"/>
      <w:lvlText w:val=""/>
      <w:lvlJc w:val="center"/>
      <w:pPr>
        <w:tabs>
          <w:tab w:val="left" w:pos="851"/>
        </w:tabs>
        <w:ind w:left="0" w:firstLine="0"/>
      </w:pPr>
      <w:rPr>
        <w:rFonts w:hint="eastAsia"/>
      </w:rPr>
    </w:lvl>
    <w:lvl w:ilvl="8" w:tentative="0">
      <w:start w:val="1"/>
      <w:numFmt w:val="none"/>
      <w:lvlRestart w:val="0"/>
      <w:lvlText w:val=""/>
      <w:lvlJc w:val="center"/>
      <w:pPr>
        <w:tabs>
          <w:tab w:val="left" w:pos="851"/>
        </w:tabs>
        <w:ind w:left="0" w:firstLine="0"/>
      </w:pPr>
      <w:rPr>
        <w:rFonts w:hint="eastAsia"/>
      </w:rPr>
    </w:lvl>
  </w:abstractNum>
  <w:abstractNum w:abstractNumId="11">
    <w:nsid w:val="E3B40A84"/>
    <w:multiLevelType w:val="singleLevel"/>
    <w:tmpl w:val="E3B40A84"/>
    <w:lvl w:ilvl="0" w:tentative="0">
      <w:start w:val="2"/>
      <w:numFmt w:val="decimal"/>
      <w:lvlText w:val="%1."/>
      <w:lvlJc w:val="left"/>
      <w:pPr>
        <w:tabs>
          <w:tab w:val="left" w:pos="312"/>
        </w:tabs>
      </w:pPr>
    </w:lvl>
  </w:abstractNum>
  <w:abstractNum w:abstractNumId="12">
    <w:nsid w:val="E66AD7D8"/>
    <w:multiLevelType w:val="singleLevel"/>
    <w:tmpl w:val="E66AD7D8"/>
    <w:lvl w:ilvl="0" w:tentative="0">
      <w:start w:val="1"/>
      <w:numFmt w:val="decimal"/>
      <w:suff w:val="nothing"/>
      <w:lvlText w:val="（%1）"/>
      <w:lvlJc w:val="left"/>
    </w:lvl>
  </w:abstractNum>
  <w:abstractNum w:abstractNumId="13">
    <w:nsid w:val="EC186319"/>
    <w:multiLevelType w:val="singleLevel"/>
    <w:tmpl w:val="EC186319"/>
    <w:lvl w:ilvl="0" w:tentative="0">
      <w:start w:val="2"/>
      <w:numFmt w:val="decimal"/>
      <w:suff w:val="nothing"/>
      <w:lvlText w:val="%1、"/>
      <w:lvlJc w:val="left"/>
    </w:lvl>
  </w:abstractNum>
  <w:abstractNum w:abstractNumId="14">
    <w:nsid w:val="F89240E8"/>
    <w:multiLevelType w:val="singleLevel"/>
    <w:tmpl w:val="F89240E8"/>
    <w:lvl w:ilvl="0" w:tentative="0">
      <w:start w:val="1"/>
      <w:numFmt w:val="decimal"/>
      <w:suff w:val="nothing"/>
      <w:lvlText w:val="%1．"/>
      <w:lvlJc w:val="left"/>
      <w:pPr>
        <w:ind w:left="0" w:firstLine="400"/>
      </w:pPr>
      <w:rPr>
        <w:rFonts w:hint="default"/>
      </w:rPr>
    </w:lvl>
  </w:abstractNum>
  <w:abstractNum w:abstractNumId="15">
    <w:nsid w:val="FA6E5B9C"/>
    <w:multiLevelType w:val="singleLevel"/>
    <w:tmpl w:val="FA6E5B9C"/>
    <w:lvl w:ilvl="0" w:tentative="0">
      <w:start w:val="1"/>
      <w:numFmt w:val="chineseCounting"/>
      <w:suff w:val="space"/>
      <w:lvlText w:val="%1、"/>
      <w:lvlJc w:val="left"/>
      <w:rPr>
        <w:rFonts w:hint="eastAsia"/>
      </w:rPr>
    </w:lvl>
  </w:abstractNum>
  <w:abstractNum w:abstractNumId="16">
    <w:nsid w:val="FDB7C0C6"/>
    <w:multiLevelType w:val="singleLevel"/>
    <w:tmpl w:val="FDB7C0C6"/>
    <w:lvl w:ilvl="0" w:tentative="0">
      <w:start w:val="1"/>
      <w:numFmt w:val="decimal"/>
      <w:lvlText w:val="(%1)"/>
      <w:lvlJc w:val="left"/>
      <w:pPr>
        <w:ind w:left="425" w:hanging="425"/>
      </w:pPr>
      <w:rPr>
        <w:rFonts w:hint="default"/>
      </w:rPr>
    </w:lvl>
  </w:abstractNum>
  <w:abstractNum w:abstractNumId="17">
    <w:nsid w:val="00000027"/>
    <w:multiLevelType w:val="multilevel"/>
    <w:tmpl w:val="00000027"/>
    <w:lvl w:ilvl="0" w:tentative="0">
      <w:start w:val="1"/>
      <w:numFmt w:val="decimal"/>
      <w:pStyle w:val="87"/>
      <w:lvlText w:val="第%1章"/>
      <w:lvlJc w:val="left"/>
      <w:pPr>
        <w:ind w:left="420" w:hanging="42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1" w:tentative="0">
      <w:start w:val="1"/>
      <w:numFmt w:val="decimal"/>
      <w:pStyle w:val="88"/>
      <w:lvlText w:val="%1.%2"/>
      <w:lvlJc w:val="left"/>
      <w:pPr>
        <w:tabs>
          <w:tab w:val="left" w:pos="142"/>
        </w:tabs>
        <w:ind w:left="709" w:hanging="567"/>
      </w:pPr>
      <w:rPr>
        <w:rFonts w:hint="eastAsia"/>
      </w:rPr>
    </w:lvl>
    <w:lvl w:ilvl="2" w:tentative="0">
      <w:start w:val="1"/>
      <w:numFmt w:val="decimal"/>
      <w:pStyle w:val="89"/>
      <w:lvlText w:val="%1.%2.%3"/>
      <w:lvlJc w:val="left"/>
      <w:pPr>
        <w:tabs>
          <w:tab w:val="left" w:pos="0"/>
        </w:tabs>
        <w:ind w:left="709" w:hanging="709"/>
      </w:pPr>
      <w:rPr>
        <w:rFonts w:hint="eastAsia"/>
        <w:sz w:val="28"/>
        <w:szCs w:val="28"/>
      </w:rPr>
    </w:lvl>
    <w:lvl w:ilvl="3" w:tentative="0">
      <w:start w:val="1"/>
      <w:numFmt w:val="decimal"/>
      <w:pStyle w:val="90"/>
      <w:lvlText w:val="%1.%2.%3.%4"/>
      <w:lvlJc w:val="left"/>
      <w:pPr>
        <w:tabs>
          <w:tab w:val="left" w:pos="0"/>
        </w:tabs>
        <w:ind w:left="851" w:hanging="851"/>
      </w:pPr>
      <w:rPr>
        <w:rFonts w:hint="eastAsia"/>
      </w:rPr>
    </w:lvl>
    <w:lvl w:ilvl="4" w:tentative="0">
      <w:start w:val="1"/>
      <w:numFmt w:val="decimal"/>
      <w:lvlText w:val="%1.%2.%3.%4.%5."/>
      <w:lvlJc w:val="left"/>
      <w:pPr>
        <w:tabs>
          <w:tab w:val="left" w:pos="0"/>
        </w:tabs>
        <w:ind w:left="992" w:hanging="992"/>
      </w:pPr>
      <w:rPr>
        <w:rFonts w:hint="eastAsia"/>
      </w:rPr>
    </w:lvl>
    <w:lvl w:ilvl="5" w:tentative="0">
      <w:start w:val="1"/>
      <w:numFmt w:val="decimal"/>
      <w:lvlRestart w:val="2"/>
      <w:lvlText w:val="表 %1-%2-%6"/>
      <w:lvlJc w:val="center"/>
      <w:pPr>
        <w:tabs>
          <w:tab w:val="left" w:pos="5672"/>
        </w:tabs>
        <w:ind w:left="4821" w:firstLine="0"/>
      </w:pPr>
      <w:rPr>
        <w:rFonts w:hint="eastAsia"/>
      </w:rPr>
    </w:lvl>
    <w:lvl w:ilvl="6" w:tentative="0">
      <w:start w:val="1"/>
      <w:numFmt w:val="decimal"/>
      <w:lvlRestart w:val="2"/>
      <w:lvlText w:val="图 %1-%2-%7"/>
      <w:lvlJc w:val="center"/>
      <w:pPr>
        <w:tabs>
          <w:tab w:val="left" w:pos="851"/>
        </w:tabs>
        <w:ind w:left="0" w:firstLine="0"/>
      </w:pPr>
      <w:rPr>
        <w:rFonts w:hint="default" w:ascii="Times New Roman" w:hAnsi="Times New Roman" w:cs="Times New Roman"/>
      </w:rPr>
    </w:lvl>
    <w:lvl w:ilvl="7" w:tentative="0">
      <w:start w:val="1"/>
      <w:numFmt w:val="none"/>
      <w:lvlRestart w:val="2"/>
      <w:lvlText w:val=""/>
      <w:lvlJc w:val="center"/>
      <w:pPr>
        <w:tabs>
          <w:tab w:val="left" w:pos="851"/>
        </w:tabs>
        <w:ind w:left="0" w:firstLine="0"/>
      </w:pPr>
      <w:rPr>
        <w:rFonts w:hint="eastAsia"/>
      </w:rPr>
    </w:lvl>
    <w:lvl w:ilvl="8" w:tentative="0">
      <w:start w:val="1"/>
      <w:numFmt w:val="none"/>
      <w:lvlRestart w:val="0"/>
      <w:lvlText w:val=""/>
      <w:lvlJc w:val="center"/>
      <w:pPr>
        <w:tabs>
          <w:tab w:val="left" w:pos="851"/>
        </w:tabs>
        <w:ind w:left="0" w:firstLine="0"/>
      </w:pPr>
      <w:rPr>
        <w:rFonts w:hint="eastAsia"/>
      </w:rPr>
    </w:lvl>
  </w:abstractNum>
  <w:abstractNum w:abstractNumId="18">
    <w:nsid w:val="11C18F8A"/>
    <w:multiLevelType w:val="singleLevel"/>
    <w:tmpl w:val="11C18F8A"/>
    <w:lvl w:ilvl="0" w:tentative="0">
      <w:start w:val="1"/>
      <w:numFmt w:val="bullet"/>
      <w:lvlText w:val=""/>
      <w:lvlJc w:val="left"/>
      <w:pPr>
        <w:ind w:left="420" w:hanging="420"/>
      </w:pPr>
      <w:rPr>
        <w:rFonts w:hint="default" w:ascii="Wingdings" w:hAnsi="Wingdings"/>
      </w:rPr>
    </w:lvl>
  </w:abstractNum>
  <w:abstractNum w:abstractNumId="19">
    <w:nsid w:val="208BE2FA"/>
    <w:multiLevelType w:val="singleLevel"/>
    <w:tmpl w:val="208BE2FA"/>
    <w:lvl w:ilvl="0" w:tentative="0">
      <w:start w:val="2"/>
      <w:numFmt w:val="decimal"/>
      <w:suff w:val="nothing"/>
      <w:lvlText w:val="%1、"/>
      <w:lvlJc w:val="left"/>
    </w:lvl>
  </w:abstractNum>
  <w:abstractNum w:abstractNumId="20">
    <w:nsid w:val="225DC1E7"/>
    <w:multiLevelType w:val="singleLevel"/>
    <w:tmpl w:val="225DC1E7"/>
    <w:lvl w:ilvl="0" w:tentative="0">
      <w:start w:val="1"/>
      <w:numFmt w:val="decimal"/>
      <w:suff w:val="nothing"/>
      <w:lvlText w:val="（%1）"/>
      <w:lvlJc w:val="left"/>
    </w:lvl>
  </w:abstractNum>
  <w:abstractNum w:abstractNumId="21">
    <w:nsid w:val="28A34B9D"/>
    <w:multiLevelType w:val="singleLevel"/>
    <w:tmpl w:val="28A34B9D"/>
    <w:lvl w:ilvl="0" w:tentative="0">
      <w:start w:val="1"/>
      <w:numFmt w:val="chineseCounting"/>
      <w:suff w:val="space"/>
      <w:lvlText w:val="%1、"/>
      <w:lvlJc w:val="left"/>
      <w:rPr>
        <w:rFonts w:hint="eastAsia"/>
      </w:rPr>
    </w:lvl>
  </w:abstractNum>
  <w:abstractNum w:abstractNumId="22">
    <w:nsid w:val="2C79CE17"/>
    <w:multiLevelType w:val="singleLevel"/>
    <w:tmpl w:val="2C79CE17"/>
    <w:lvl w:ilvl="0" w:tentative="0">
      <w:start w:val="1"/>
      <w:numFmt w:val="chineseCounting"/>
      <w:suff w:val="space"/>
      <w:lvlText w:val="%1、"/>
      <w:lvlJc w:val="left"/>
      <w:rPr>
        <w:rFonts w:hint="eastAsia"/>
      </w:rPr>
    </w:lvl>
  </w:abstractNum>
  <w:abstractNum w:abstractNumId="23">
    <w:nsid w:val="2DDE62A3"/>
    <w:multiLevelType w:val="singleLevel"/>
    <w:tmpl w:val="2DDE62A3"/>
    <w:lvl w:ilvl="0" w:tentative="0">
      <w:start w:val="1"/>
      <w:numFmt w:val="chineseCounting"/>
      <w:suff w:val="space"/>
      <w:lvlText w:val="%1、"/>
      <w:lvlJc w:val="left"/>
      <w:rPr>
        <w:rFonts w:hint="eastAsia"/>
      </w:rPr>
    </w:lvl>
  </w:abstractNum>
  <w:abstractNum w:abstractNumId="24">
    <w:nsid w:val="418B3719"/>
    <w:multiLevelType w:val="multilevel"/>
    <w:tmpl w:val="418B3719"/>
    <w:lvl w:ilvl="0" w:tentative="0">
      <w:start w:val="1"/>
      <w:numFmt w:val="decimal"/>
      <w:lvlText w:val="第%1章"/>
      <w:lvlJc w:val="left"/>
      <w:pPr>
        <w:ind w:left="0" w:firstLine="0"/>
      </w:pPr>
      <w:rPr>
        <w:rFonts w:hint="default" w:ascii="Times New Roman" w:hAnsi="Times New Roman" w:eastAsia="黑体"/>
        <w:b w:val="0"/>
        <w:i w:val="0"/>
        <w:color w:val="auto"/>
        <w:sz w:val="36"/>
      </w:rPr>
    </w:lvl>
    <w:lvl w:ilvl="1" w:tentative="0">
      <w:start w:val="1"/>
      <w:numFmt w:val="decimal"/>
      <w:pStyle w:val="28"/>
      <w:lvlText w:val="%1.%2"/>
      <w:lvlJc w:val="left"/>
      <w:pPr>
        <w:ind w:left="992" w:hanging="567"/>
      </w:pPr>
      <w:rPr>
        <w:rFonts w:hint="default" w:ascii="Times New Roman" w:hAnsi="Times New Roman" w:eastAsia="宋体"/>
        <w:b/>
        <w:i w:val="0"/>
        <w:sz w:val="28"/>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5">
    <w:nsid w:val="4615D29A"/>
    <w:multiLevelType w:val="singleLevel"/>
    <w:tmpl w:val="4615D29A"/>
    <w:lvl w:ilvl="0" w:tentative="0">
      <w:start w:val="1"/>
      <w:numFmt w:val="decimal"/>
      <w:suff w:val="nothing"/>
      <w:lvlText w:val="（%1）"/>
      <w:lvlJc w:val="left"/>
      <w:pPr>
        <w:ind w:left="-1"/>
      </w:pPr>
    </w:lvl>
  </w:abstractNum>
  <w:abstractNum w:abstractNumId="26">
    <w:nsid w:val="46442F1A"/>
    <w:multiLevelType w:val="singleLevel"/>
    <w:tmpl w:val="46442F1A"/>
    <w:lvl w:ilvl="0" w:tentative="0">
      <w:start w:val="1"/>
      <w:numFmt w:val="decimal"/>
      <w:lvlText w:val="(%1)"/>
      <w:lvlJc w:val="left"/>
      <w:pPr>
        <w:ind w:left="425" w:hanging="425"/>
      </w:pPr>
      <w:rPr>
        <w:rFonts w:hint="default"/>
      </w:rPr>
    </w:lvl>
  </w:abstractNum>
  <w:abstractNum w:abstractNumId="27">
    <w:nsid w:val="509933A2"/>
    <w:multiLevelType w:val="multilevel"/>
    <w:tmpl w:val="509933A2"/>
    <w:lvl w:ilvl="0" w:tentative="0">
      <w:start w:val="1"/>
      <w:numFmt w:val="decimal"/>
      <w:pStyle w:val="38"/>
      <w:lvlText w:val="第%1章"/>
      <w:lvlJc w:val="left"/>
      <w:pPr>
        <w:ind w:left="0" w:firstLine="0"/>
      </w:pPr>
      <w:rPr>
        <w:rFonts w:hint="default" w:ascii="宋体" w:hAnsi="宋体" w:eastAsia="宋体" w:cs="宋体"/>
        <w:b/>
        <w:bCs/>
        <w:i w:val="0"/>
        <w:color w:val="auto"/>
        <w:sz w:val="36"/>
      </w:rPr>
    </w:lvl>
    <w:lvl w:ilvl="1" w:tentative="0">
      <w:start w:val="1"/>
      <w:numFmt w:val="decimal"/>
      <w:pStyle w:val="39"/>
      <w:lvlText w:val="%1.%2."/>
      <w:lvlJc w:val="left"/>
      <w:pPr>
        <w:ind w:left="0" w:firstLine="0"/>
      </w:pPr>
      <w:rPr>
        <w:rFonts w:hint="default" w:ascii="宋体" w:hAnsi="宋体" w:eastAsia="宋体" w:cs="宋体"/>
        <w:b/>
        <w:i w:val="0"/>
        <w:color w:val="auto"/>
        <w:sz w:val="28"/>
      </w:rPr>
    </w:lvl>
    <w:lvl w:ilvl="2" w:tentative="0">
      <w:start w:val="1"/>
      <w:numFmt w:val="decimal"/>
      <w:pStyle w:val="40"/>
      <w:lvlText w:val="%1.%2.%3."/>
      <w:lvlJc w:val="left"/>
      <w:pPr>
        <w:ind w:left="0" w:firstLine="0"/>
      </w:pPr>
      <w:rPr>
        <w:rFonts w:hint="default" w:ascii="宋体" w:hAnsi="宋体" w:eastAsia="宋体" w:cs="宋体"/>
        <w:b/>
        <w:i w:val="0"/>
        <w:color w:val="auto"/>
        <w:sz w:val="28"/>
        <w:szCs w:val="28"/>
      </w:rPr>
    </w:lvl>
    <w:lvl w:ilvl="3" w:tentative="0">
      <w:start w:val="1"/>
      <w:numFmt w:val="decimal"/>
      <w:pStyle w:val="37"/>
      <w:lvlText w:val="%1.%2.%3.%4."/>
      <w:lvlJc w:val="left"/>
      <w:pPr>
        <w:ind w:left="0" w:firstLine="0"/>
      </w:pPr>
      <w:rPr>
        <w:rFonts w:hint="default" w:ascii="宋体" w:hAnsi="宋体" w:eastAsia="宋体" w:cs="宋体"/>
      </w:rPr>
    </w:lvl>
    <w:lvl w:ilvl="4" w:tentative="0">
      <w:start w:val="1"/>
      <w:numFmt w:val="decimal"/>
      <w:lvlText w:val="%1.%2.%3.%4.%5."/>
      <w:lvlJc w:val="left"/>
      <w:pPr>
        <w:ind w:left="0" w:firstLine="0"/>
      </w:pPr>
      <w:rPr>
        <w:rFonts w:hint="default" w:ascii="宋体" w:hAnsi="宋体" w:eastAsia="宋体" w:cs="宋体"/>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Restart w:val="2"/>
      <w:pStyle w:val="41"/>
      <w:lvlText w:val="表%1.%2-%8:"/>
      <w:lvlJc w:val="left"/>
      <w:pPr>
        <w:ind w:left="0" w:firstLine="0"/>
      </w:pPr>
      <w:rPr>
        <w:rFonts w:hint="default" w:ascii="宋体" w:hAnsi="宋体" w:eastAsia="宋体" w:cs="宋体"/>
        <w:sz w:val="28"/>
        <w:szCs w:val="28"/>
      </w:rPr>
    </w:lvl>
    <w:lvl w:ilvl="8" w:tentative="0">
      <w:start w:val="1"/>
      <w:numFmt w:val="decimal"/>
      <w:lvlRestart w:val="2"/>
      <w:pStyle w:val="91"/>
      <w:lvlText w:val="图%1.%2-%9:"/>
      <w:lvlJc w:val="left"/>
      <w:pPr>
        <w:ind w:left="0" w:firstLine="0"/>
      </w:pPr>
      <w:rPr>
        <w:rFonts w:hint="default" w:ascii="宋体" w:hAnsi="宋体" w:eastAsia="宋体" w:cs="宋体"/>
        <w:sz w:val="28"/>
        <w:szCs w:val="28"/>
      </w:rPr>
    </w:lvl>
  </w:abstractNum>
  <w:abstractNum w:abstractNumId="28">
    <w:nsid w:val="5975B951"/>
    <w:multiLevelType w:val="singleLevel"/>
    <w:tmpl w:val="5975B951"/>
    <w:lvl w:ilvl="0" w:tentative="0">
      <w:start w:val="1"/>
      <w:numFmt w:val="decimal"/>
      <w:suff w:val="nothing"/>
      <w:lvlText w:val="（%1）"/>
      <w:lvlJc w:val="left"/>
    </w:lvl>
  </w:abstractNum>
  <w:abstractNum w:abstractNumId="29">
    <w:nsid w:val="624FFDD2"/>
    <w:multiLevelType w:val="singleLevel"/>
    <w:tmpl w:val="624FFDD2"/>
    <w:lvl w:ilvl="0" w:tentative="0">
      <w:start w:val="1"/>
      <w:numFmt w:val="decimal"/>
      <w:suff w:val="space"/>
      <w:lvlText w:val="（%1）"/>
      <w:lvlJc w:val="left"/>
    </w:lvl>
  </w:abstractNum>
  <w:abstractNum w:abstractNumId="30">
    <w:nsid w:val="69B4C339"/>
    <w:multiLevelType w:val="singleLevel"/>
    <w:tmpl w:val="69B4C339"/>
    <w:lvl w:ilvl="0" w:tentative="0">
      <w:start w:val="1"/>
      <w:numFmt w:val="decimal"/>
      <w:lvlText w:val="(%1)"/>
      <w:lvlJc w:val="left"/>
      <w:pPr>
        <w:ind w:left="425" w:hanging="425"/>
      </w:pPr>
      <w:rPr>
        <w:rFonts w:hint="default"/>
      </w:rPr>
    </w:lvl>
  </w:abstractNum>
  <w:abstractNum w:abstractNumId="31">
    <w:nsid w:val="6E504C29"/>
    <w:multiLevelType w:val="singleLevel"/>
    <w:tmpl w:val="6E504C29"/>
    <w:lvl w:ilvl="0" w:tentative="0">
      <w:start w:val="1"/>
      <w:numFmt w:val="decimal"/>
      <w:lvlText w:val="(%1)"/>
      <w:lvlJc w:val="left"/>
      <w:pPr>
        <w:ind w:left="425" w:hanging="425"/>
      </w:pPr>
      <w:rPr>
        <w:rFonts w:hint="default"/>
      </w:rPr>
    </w:lvl>
  </w:abstractNum>
  <w:num w:numId="1">
    <w:abstractNumId w:val="7"/>
  </w:num>
  <w:num w:numId="2">
    <w:abstractNumId w:val="24"/>
  </w:num>
  <w:num w:numId="3">
    <w:abstractNumId w:val="27"/>
  </w:num>
  <w:num w:numId="4">
    <w:abstractNumId w:val="17"/>
  </w:num>
  <w:num w:numId="5">
    <w:abstractNumId w:val="10"/>
  </w:num>
  <w:num w:numId="6">
    <w:abstractNumId w:val="19"/>
  </w:num>
  <w:num w:numId="7">
    <w:abstractNumId w:val="30"/>
  </w:num>
  <w:num w:numId="8">
    <w:abstractNumId w:val="31"/>
  </w:num>
  <w:num w:numId="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25"/>
  </w:num>
  <w:num w:numId="12">
    <w:abstractNumId w:val="6"/>
  </w:num>
  <w:num w:numId="13">
    <w:abstractNumId w:val="21"/>
  </w:num>
  <w:num w:numId="14">
    <w:abstractNumId w:val="23"/>
  </w:num>
  <w:num w:numId="15">
    <w:abstractNumId w:val="29"/>
  </w:num>
  <w:num w:numId="16">
    <w:abstractNumId w:val="8"/>
  </w:num>
  <w:num w:numId="17">
    <w:abstractNumId w:val="15"/>
  </w:num>
  <w:num w:numId="1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num>
  <w:num w:numId="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num>
  <w:num w:numId="25">
    <w:abstractNumId w:val="28"/>
  </w:num>
  <w:num w:numId="26">
    <w:abstractNumId w:val="20"/>
  </w:num>
  <w:num w:numId="27">
    <w:abstractNumId w:val="14"/>
  </w:num>
  <w:num w:numId="2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
  </w:num>
  <w:num w:numId="32">
    <w:abstractNumId w:val="3"/>
  </w:num>
  <w:num w:numId="33">
    <w:abstractNumId w:val="26"/>
  </w:num>
  <w:num w:numId="34">
    <w:abstractNumId w:val="13"/>
  </w:num>
  <w:num w:numId="35">
    <w:abstractNumId w:val="22"/>
  </w:num>
  <w:num w:numId="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
  </w:num>
  <w:num w:numId="38">
    <w:abstractNumId w:val="16"/>
  </w:num>
  <w:num w:numId="3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num>
  <w:num w:numId="4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3"/>
  <w:bordersDoNotSurroundHeader w:val="0"/>
  <w:bordersDoNotSurroundFooter w:val="0"/>
  <w:documentProtection w:enforcement="0"/>
  <w:defaultTabStop w:val="308"/>
  <w:drawingGridHorizontalSpacing w:val="141"/>
  <w:drawingGridVerticalSpacing w:val="194"/>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A1NmFjNzQwOTA4MDBmOTQwODVhZDg1NGU3YTk3MjMifQ=="/>
  </w:docVars>
  <w:rsids>
    <w:rsidRoot w:val="00172A27"/>
    <w:rsid w:val="00022B3A"/>
    <w:rsid w:val="00041550"/>
    <w:rsid w:val="00041EF8"/>
    <w:rsid w:val="0004774C"/>
    <w:rsid w:val="00061FE1"/>
    <w:rsid w:val="00067116"/>
    <w:rsid w:val="000754B9"/>
    <w:rsid w:val="000763AE"/>
    <w:rsid w:val="000A6EB9"/>
    <w:rsid w:val="000B14CE"/>
    <w:rsid w:val="000C0D5E"/>
    <w:rsid w:val="000C25CB"/>
    <w:rsid w:val="000C4A4A"/>
    <w:rsid w:val="000D44C9"/>
    <w:rsid w:val="000D4552"/>
    <w:rsid w:val="000F2600"/>
    <w:rsid w:val="00112A72"/>
    <w:rsid w:val="001151BF"/>
    <w:rsid w:val="00121255"/>
    <w:rsid w:val="00125145"/>
    <w:rsid w:val="0015542B"/>
    <w:rsid w:val="00172A27"/>
    <w:rsid w:val="00174901"/>
    <w:rsid w:val="001A75B0"/>
    <w:rsid w:val="001B2423"/>
    <w:rsid w:val="001B4C54"/>
    <w:rsid w:val="001C2F2C"/>
    <w:rsid w:val="001F3B91"/>
    <w:rsid w:val="001F74AA"/>
    <w:rsid w:val="0021672A"/>
    <w:rsid w:val="00231E85"/>
    <w:rsid w:val="00254108"/>
    <w:rsid w:val="00256CC6"/>
    <w:rsid w:val="00276A6F"/>
    <w:rsid w:val="002774E3"/>
    <w:rsid w:val="0028717C"/>
    <w:rsid w:val="002B0F80"/>
    <w:rsid w:val="002B5001"/>
    <w:rsid w:val="002C019C"/>
    <w:rsid w:val="002D5C27"/>
    <w:rsid w:val="002E0222"/>
    <w:rsid w:val="002F3507"/>
    <w:rsid w:val="002F4ABC"/>
    <w:rsid w:val="0031063C"/>
    <w:rsid w:val="00314B6D"/>
    <w:rsid w:val="00331F31"/>
    <w:rsid w:val="0033741A"/>
    <w:rsid w:val="00346B85"/>
    <w:rsid w:val="00347A54"/>
    <w:rsid w:val="00353D0C"/>
    <w:rsid w:val="003555A3"/>
    <w:rsid w:val="00355744"/>
    <w:rsid w:val="00362CB1"/>
    <w:rsid w:val="00365298"/>
    <w:rsid w:val="00366E6D"/>
    <w:rsid w:val="00390CBD"/>
    <w:rsid w:val="003A0268"/>
    <w:rsid w:val="003B4A06"/>
    <w:rsid w:val="003D01D2"/>
    <w:rsid w:val="003D1199"/>
    <w:rsid w:val="003D224D"/>
    <w:rsid w:val="003D6D7B"/>
    <w:rsid w:val="003E4803"/>
    <w:rsid w:val="003F2A5D"/>
    <w:rsid w:val="00410AB1"/>
    <w:rsid w:val="00411935"/>
    <w:rsid w:val="00411CE3"/>
    <w:rsid w:val="00417B67"/>
    <w:rsid w:val="004267CF"/>
    <w:rsid w:val="00435D5E"/>
    <w:rsid w:val="00450BE9"/>
    <w:rsid w:val="00452787"/>
    <w:rsid w:val="00457518"/>
    <w:rsid w:val="00464076"/>
    <w:rsid w:val="004944B2"/>
    <w:rsid w:val="0049671A"/>
    <w:rsid w:val="004A403F"/>
    <w:rsid w:val="004A6B81"/>
    <w:rsid w:val="004C6F66"/>
    <w:rsid w:val="004E4904"/>
    <w:rsid w:val="004E4F90"/>
    <w:rsid w:val="004E6166"/>
    <w:rsid w:val="004E690D"/>
    <w:rsid w:val="004F0AC0"/>
    <w:rsid w:val="0051515B"/>
    <w:rsid w:val="005236ED"/>
    <w:rsid w:val="00523772"/>
    <w:rsid w:val="005509A4"/>
    <w:rsid w:val="005564AE"/>
    <w:rsid w:val="005609E3"/>
    <w:rsid w:val="005613E4"/>
    <w:rsid w:val="005677ED"/>
    <w:rsid w:val="005738F8"/>
    <w:rsid w:val="0058155D"/>
    <w:rsid w:val="00583550"/>
    <w:rsid w:val="00584F28"/>
    <w:rsid w:val="005A51C4"/>
    <w:rsid w:val="005C119D"/>
    <w:rsid w:val="005C207B"/>
    <w:rsid w:val="005D2054"/>
    <w:rsid w:val="005F5DC5"/>
    <w:rsid w:val="00611015"/>
    <w:rsid w:val="006135ED"/>
    <w:rsid w:val="006263A7"/>
    <w:rsid w:val="00633701"/>
    <w:rsid w:val="00640DD7"/>
    <w:rsid w:val="00644FF5"/>
    <w:rsid w:val="00666796"/>
    <w:rsid w:val="0067390B"/>
    <w:rsid w:val="006770D5"/>
    <w:rsid w:val="00677F9D"/>
    <w:rsid w:val="006832F2"/>
    <w:rsid w:val="00695C64"/>
    <w:rsid w:val="006C4B15"/>
    <w:rsid w:val="006C7C55"/>
    <w:rsid w:val="006D11AD"/>
    <w:rsid w:val="006D53E5"/>
    <w:rsid w:val="006D73C8"/>
    <w:rsid w:val="006F131E"/>
    <w:rsid w:val="0070184E"/>
    <w:rsid w:val="00706613"/>
    <w:rsid w:val="00707D7E"/>
    <w:rsid w:val="007228BF"/>
    <w:rsid w:val="00723B49"/>
    <w:rsid w:val="00724522"/>
    <w:rsid w:val="007402CA"/>
    <w:rsid w:val="00745A3E"/>
    <w:rsid w:val="00746832"/>
    <w:rsid w:val="007807B3"/>
    <w:rsid w:val="0078578B"/>
    <w:rsid w:val="0078587A"/>
    <w:rsid w:val="007B1B4B"/>
    <w:rsid w:val="007C34F0"/>
    <w:rsid w:val="007E6095"/>
    <w:rsid w:val="007F4B00"/>
    <w:rsid w:val="0083050D"/>
    <w:rsid w:val="008524F7"/>
    <w:rsid w:val="008573A7"/>
    <w:rsid w:val="00861602"/>
    <w:rsid w:val="0087274F"/>
    <w:rsid w:val="008736A5"/>
    <w:rsid w:val="008977DD"/>
    <w:rsid w:val="008A06B2"/>
    <w:rsid w:val="008A4992"/>
    <w:rsid w:val="008B101E"/>
    <w:rsid w:val="008D36C4"/>
    <w:rsid w:val="008D6647"/>
    <w:rsid w:val="008D693C"/>
    <w:rsid w:val="008E52E7"/>
    <w:rsid w:val="008E5F95"/>
    <w:rsid w:val="00920143"/>
    <w:rsid w:val="0092123D"/>
    <w:rsid w:val="0094236E"/>
    <w:rsid w:val="00943F8D"/>
    <w:rsid w:val="009558CC"/>
    <w:rsid w:val="00976821"/>
    <w:rsid w:val="00982FE0"/>
    <w:rsid w:val="00997572"/>
    <w:rsid w:val="009B08FC"/>
    <w:rsid w:val="009B3FA7"/>
    <w:rsid w:val="009C3A7B"/>
    <w:rsid w:val="009D378C"/>
    <w:rsid w:val="009D3982"/>
    <w:rsid w:val="00A234D9"/>
    <w:rsid w:val="00A2456A"/>
    <w:rsid w:val="00A27956"/>
    <w:rsid w:val="00A30785"/>
    <w:rsid w:val="00A52381"/>
    <w:rsid w:val="00A6223C"/>
    <w:rsid w:val="00A66D86"/>
    <w:rsid w:val="00A93D92"/>
    <w:rsid w:val="00A93DF6"/>
    <w:rsid w:val="00A9772F"/>
    <w:rsid w:val="00AB5204"/>
    <w:rsid w:val="00AC57B4"/>
    <w:rsid w:val="00AD4D16"/>
    <w:rsid w:val="00AE5DF5"/>
    <w:rsid w:val="00B373A3"/>
    <w:rsid w:val="00B74211"/>
    <w:rsid w:val="00B7605F"/>
    <w:rsid w:val="00B818DB"/>
    <w:rsid w:val="00B9419A"/>
    <w:rsid w:val="00BB432C"/>
    <w:rsid w:val="00BC7354"/>
    <w:rsid w:val="00BE25D5"/>
    <w:rsid w:val="00BE2729"/>
    <w:rsid w:val="00BF0CF7"/>
    <w:rsid w:val="00BF1646"/>
    <w:rsid w:val="00C0027F"/>
    <w:rsid w:val="00C05CC8"/>
    <w:rsid w:val="00C111E0"/>
    <w:rsid w:val="00C17B9C"/>
    <w:rsid w:val="00C24788"/>
    <w:rsid w:val="00C27DCE"/>
    <w:rsid w:val="00C44CB7"/>
    <w:rsid w:val="00C45143"/>
    <w:rsid w:val="00C512A7"/>
    <w:rsid w:val="00C62E5A"/>
    <w:rsid w:val="00C82707"/>
    <w:rsid w:val="00C82D85"/>
    <w:rsid w:val="00C87E33"/>
    <w:rsid w:val="00C90286"/>
    <w:rsid w:val="00CA6051"/>
    <w:rsid w:val="00CB3157"/>
    <w:rsid w:val="00CB4122"/>
    <w:rsid w:val="00CC4025"/>
    <w:rsid w:val="00D23668"/>
    <w:rsid w:val="00D376B7"/>
    <w:rsid w:val="00D451C3"/>
    <w:rsid w:val="00D54567"/>
    <w:rsid w:val="00D85127"/>
    <w:rsid w:val="00DB062B"/>
    <w:rsid w:val="00DB238E"/>
    <w:rsid w:val="00DD476B"/>
    <w:rsid w:val="00DD4851"/>
    <w:rsid w:val="00DE5A7C"/>
    <w:rsid w:val="00DE6112"/>
    <w:rsid w:val="00DF1296"/>
    <w:rsid w:val="00DF1AB9"/>
    <w:rsid w:val="00E43CF0"/>
    <w:rsid w:val="00E51708"/>
    <w:rsid w:val="00E573F1"/>
    <w:rsid w:val="00E6139B"/>
    <w:rsid w:val="00E76D51"/>
    <w:rsid w:val="00E974DE"/>
    <w:rsid w:val="00EA5A9D"/>
    <w:rsid w:val="00EB2298"/>
    <w:rsid w:val="00EB2E0D"/>
    <w:rsid w:val="00EC6F69"/>
    <w:rsid w:val="00ED210A"/>
    <w:rsid w:val="00ED23EB"/>
    <w:rsid w:val="00ED5483"/>
    <w:rsid w:val="00EE22BC"/>
    <w:rsid w:val="00EE4CC4"/>
    <w:rsid w:val="00EF4769"/>
    <w:rsid w:val="00EF4ACD"/>
    <w:rsid w:val="00F1632F"/>
    <w:rsid w:val="00F23B7F"/>
    <w:rsid w:val="00F43819"/>
    <w:rsid w:val="00F443F1"/>
    <w:rsid w:val="00F50DEE"/>
    <w:rsid w:val="00F611D1"/>
    <w:rsid w:val="00F67300"/>
    <w:rsid w:val="00F6753B"/>
    <w:rsid w:val="00F71544"/>
    <w:rsid w:val="00F72CA9"/>
    <w:rsid w:val="00F73EF2"/>
    <w:rsid w:val="00FA445D"/>
    <w:rsid w:val="00FA6981"/>
    <w:rsid w:val="00FA6C95"/>
    <w:rsid w:val="00FC0221"/>
    <w:rsid w:val="00FC4FBB"/>
    <w:rsid w:val="00FC569F"/>
    <w:rsid w:val="00FE1926"/>
    <w:rsid w:val="00FF39CF"/>
    <w:rsid w:val="01A261F3"/>
    <w:rsid w:val="01AC2F07"/>
    <w:rsid w:val="022801F7"/>
    <w:rsid w:val="02875347"/>
    <w:rsid w:val="02A67DDB"/>
    <w:rsid w:val="02BC1AB4"/>
    <w:rsid w:val="03611008"/>
    <w:rsid w:val="037E320E"/>
    <w:rsid w:val="03B70649"/>
    <w:rsid w:val="03B775A4"/>
    <w:rsid w:val="03EE3EEF"/>
    <w:rsid w:val="042A735D"/>
    <w:rsid w:val="043B3AF6"/>
    <w:rsid w:val="046D5BF8"/>
    <w:rsid w:val="04950EC1"/>
    <w:rsid w:val="04A60991"/>
    <w:rsid w:val="04CA2D6D"/>
    <w:rsid w:val="053E08C3"/>
    <w:rsid w:val="055318C6"/>
    <w:rsid w:val="05576C6B"/>
    <w:rsid w:val="059923ED"/>
    <w:rsid w:val="05AD2C2D"/>
    <w:rsid w:val="05C76ACE"/>
    <w:rsid w:val="05D42ACA"/>
    <w:rsid w:val="061706BA"/>
    <w:rsid w:val="061B36D3"/>
    <w:rsid w:val="06270527"/>
    <w:rsid w:val="0664493D"/>
    <w:rsid w:val="06FC2A15"/>
    <w:rsid w:val="0703655A"/>
    <w:rsid w:val="0722245F"/>
    <w:rsid w:val="074F68C1"/>
    <w:rsid w:val="076444C8"/>
    <w:rsid w:val="077A00F5"/>
    <w:rsid w:val="0786034C"/>
    <w:rsid w:val="07A77580"/>
    <w:rsid w:val="07B15DD7"/>
    <w:rsid w:val="07DB478B"/>
    <w:rsid w:val="08020B23"/>
    <w:rsid w:val="08C570B9"/>
    <w:rsid w:val="08F135A9"/>
    <w:rsid w:val="092208D6"/>
    <w:rsid w:val="09AB31FE"/>
    <w:rsid w:val="09D53FB5"/>
    <w:rsid w:val="09F61EB3"/>
    <w:rsid w:val="0A0B50CF"/>
    <w:rsid w:val="0A1B2D1C"/>
    <w:rsid w:val="0A554E08"/>
    <w:rsid w:val="0A6E360D"/>
    <w:rsid w:val="0A752F16"/>
    <w:rsid w:val="0AC81974"/>
    <w:rsid w:val="0AD74B0F"/>
    <w:rsid w:val="0B3456B6"/>
    <w:rsid w:val="0B543925"/>
    <w:rsid w:val="0B682BB9"/>
    <w:rsid w:val="0B9E4349"/>
    <w:rsid w:val="0BE36529"/>
    <w:rsid w:val="0BE52512"/>
    <w:rsid w:val="0BF856C8"/>
    <w:rsid w:val="0BFD4FC9"/>
    <w:rsid w:val="0C204E8E"/>
    <w:rsid w:val="0C315B7C"/>
    <w:rsid w:val="0CC62BDB"/>
    <w:rsid w:val="0CDB6FDB"/>
    <w:rsid w:val="0D28491E"/>
    <w:rsid w:val="0D462051"/>
    <w:rsid w:val="0D4A5F0F"/>
    <w:rsid w:val="0D883AA8"/>
    <w:rsid w:val="0D8D4779"/>
    <w:rsid w:val="0E0C25D4"/>
    <w:rsid w:val="0E210B78"/>
    <w:rsid w:val="0E4D4684"/>
    <w:rsid w:val="0E9744FC"/>
    <w:rsid w:val="0EB05A44"/>
    <w:rsid w:val="0EBD147E"/>
    <w:rsid w:val="0EE244E0"/>
    <w:rsid w:val="0F0748AD"/>
    <w:rsid w:val="0F0E6300"/>
    <w:rsid w:val="0F22219C"/>
    <w:rsid w:val="0F6905C3"/>
    <w:rsid w:val="0F827BE2"/>
    <w:rsid w:val="0F9D4A1B"/>
    <w:rsid w:val="0FA967B3"/>
    <w:rsid w:val="0FC10DF9"/>
    <w:rsid w:val="102665D2"/>
    <w:rsid w:val="10831F2A"/>
    <w:rsid w:val="10C52E98"/>
    <w:rsid w:val="10CF25EB"/>
    <w:rsid w:val="1103404B"/>
    <w:rsid w:val="11282376"/>
    <w:rsid w:val="11414CC4"/>
    <w:rsid w:val="11554BE2"/>
    <w:rsid w:val="11622CD3"/>
    <w:rsid w:val="116B2174"/>
    <w:rsid w:val="11B66400"/>
    <w:rsid w:val="11C61358"/>
    <w:rsid w:val="12057AB9"/>
    <w:rsid w:val="120D4A24"/>
    <w:rsid w:val="121F5BBC"/>
    <w:rsid w:val="123B4374"/>
    <w:rsid w:val="12661FB4"/>
    <w:rsid w:val="12677D64"/>
    <w:rsid w:val="12BC165D"/>
    <w:rsid w:val="12E56ED2"/>
    <w:rsid w:val="12FB0525"/>
    <w:rsid w:val="131A27D1"/>
    <w:rsid w:val="13203999"/>
    <w:rsid w:val="132C233E"/>
    <w:rsid w:val="134C29E0"/>
    <w:rsid w:val="1353659B"/>
    <w:rsid w:val="13862EA5"/>
    <w:rsid w:val="14184FB8"/>
    <w:rsid w:val="14610891"/>
    <w:rsid w:val="146B00DD"/>
    <w:rsid w:val="149250D7"/>
    <w:rsid w:val="149A23DD"/>
    <w:rsid w:val="153719A2"/>
    <w:rsid w:val="15416F14"/>
    <w:rsid w:val="155913E5"/>
    <w:rsid w:val="155E0AC1"/>
    <w:rsid w:val="15726210"/>
    <w:rsid w:val="157A647F"/>
    <w:rsid w:val="15BB707E"/>
    <w:rsid w:val="15E1226E"/>
    <w:rsid w:val="160F68B6"/>
    <w:rsid w:val="16A57DCC"/>
    <w:rsid w:val="16C130F9"/>
    <w:rsid w:val="17134C25"/>
    <w:rsid w:val="17446280"/>
    <w:rsid w:val="1780534F"/>
    <w:rsid w:val="178730FF"/>
    <w:rsid w:val="179702EF"/>
    <w:rsid w:val="17B14BA9"/>
    <w:rsid w:val="17D6259A"/>
    <w:rsid w:val="17E34B13"/>
    <w:rsid w:val="18070692"/>
    <w:rsid w:val="185D7202"/>
    <w:rsid w:val="186715DB"/>
    <w:rsid w:val="18AE3723"/>
    <w:rsid w:val="18B46A55"/>
    <w:rsid w:val="18C82141"/>
    <w:rsid w:val="18CB5C9D"/>
    <w:rsid w:val="19027AA9"/>
    <w:rsid w:val="19384FA1"/>
    <w:rsid w:val="195C0C6D"/>
    <w:rsid w:val="195C264D"/>
    <w:rsid w:val="19C608C4"/>
    <w:rsid w:val="19CC1213"/>
    <w:rsid w:val="19DB7A21"/>
    <w:rsid w:val="19F96153"/>
    <w:rsid w:val="1A204BC7"/>
    <w:rsid w:val="1A4E1402"/>
    <w:rsid w:val="1A7A1B29"/>
    <w:rsid w:val="1A927E2D"/>
    <w:rsid w:val="1AAF2064"/>
    <w:rsid w:val="1AF851FC"/>
    <w:rsid w:val="1B2C64FD"/>
    <w:rsid w:val="1B6901F7"/>
    <w:rsid w:val="1C1D13BE"/>
    <w:rsid w:val="1C890F13"/>
    <w:rsid w:val="1CB748D6"/>
    <w:rsid w:val="1CD34102"/>
    <w:rsid w:val="1CE46FAD"/>
    <w:rsid w:val="1CF461D2"/>
    <w:rsid w:val="1D047D70"/>
    <w:rsid w:val="1D2B006D"/>
    <w:rsid w:val="1D433870"/>
    <w:rsid w:val="1D6C240E"/>
    <w:rsid w:val="1D872438"/>
    <w:rsid w:val="1D9C2962"/>
    <w:rsid w:val="1DD6109B"/>
    <w:rsid w:val="1DE91BB2"/>
    <w:rsid w:val="1E447A2A"/>
    <w:rsid w:val="1E467983"/>
    <w:rsid w:val="1E8E2886"/>
    <w:rsid w:val="1EA57449"/>
    <w:rsid w:val="1ED83CFE"/>
    <w:rsid w:val="1ED86340"/>
    <w:rsid w:val="1EFC4C0E"/>
    <w:rsid w:val="1F377E09"/>
    <w:rsid w:val="1F4159FD"/>
    <w:rsid w:val="1FEB1A3E"/>
    <w:rsid w:val="200638A5"/>
    <w:rsid w:val="201F6C05"/>
    <w:rsid w:val="207055D2"/>
    <w:rsid w:val="209A3A51"/>
    <w:rsid w:val="20A011EC"/>
    <w:rsid w:val="20CA540E"/>
    <w:rsid w:val="20D7016D"/>
    <w:rsid w:val="212471CE"/>
    <w:rsid w:val="216D788A"/>
    <w:rsid w:val="218B0EB2"/>
    <w:rsid w:val="21D37FAB"/>
    <w:rsid w:val="221D40DC"/>
    <w:rsid w:val="22513CAB"/>
    <w:rsid w:val="229E4355"/>
    <w:rsid w:val="22A634DB"/>
    <w:rsid w:val="22BD452F"/>
    <w:rsid w:val="22C922BA"/>
    <w:rsid w:val="22DF094B"/>
    <w:rsid w:val="232843B2"/>
    <w:rsid w:val="23377209"/>
    <w:rsid w:val="234E2C9C"/>
    <w:rsid w:val="235A2EF8"/>
    <w:rsid w:val="23BB3096"/>
    <w:rsid w:val="23CB0C34"/>
    <w:rsid w:val="23F70746"/>
    <w:rsid w:val="24080EFF"/>
    <w:rsid w:val="24320771"/>
    <w:rsid w:val="246D27B7"/>
    <w:rsid w:val="24816262"/>
    <w:rsid w:val="249E3465"/>
    <w:rsid w:val="24AB32DF"/>
    <w:rsid w:val="24AC18CD"/>
    <w:rsid w:val="24C525F3"/>
    <w:rsid w:val="24F568B6"/>
    <w:rsid w:val="24F62356"/>
    <w:rsid w:val="251B05C2"/>
    <w:rsid w:val="25432A10"/>
    <w:rsid w:val="25744652"/>
    <w:rsid w:val="257B759F"/>
    <w:rsid w:val="259D3E12"/>
    <w:rsid w:val="267F4BBC"/>
    <w:rsid w:val="26934D10"/>
    <w:rsid w:val="26B50445"/>
    <w:rsid w:val="26B616A4"/>
    <w:rsid w:val="26C757B5"/>
    <w:rsid w:val="26EF29E5"/>
    <w:rsid w:val="27345ABD"/>
    <w:rsid w:val="27530A09"/>
    <w:rsid w:val="27531FD9"/>
    <w:rsid w:val="27622C6E"/>
    <w:rsid w:val="27A77B3A"/>
    <w:rsid w:val="27DD40F7"/>
    <w:rsid w:val="27DF3D0C"/>
    <w:rsid w:val="27EB7F3E"/>
    <w:rsid w:val="28133675"/>
    <w:rsid w:val="28137487"/>
    <w:rsid w:val="282E6AD6"/>
    <w:rsid w:val="285139A1"/>
    <w:rsid w:val="289447B6"/>
    <w:rsid w:val="28C63646"/>
    <w:rsid w:val="29191116"/>
    <w:rsid w:val="2920604A"/>
    <w:rsid w:val="298E027E"/>
    <w:rsid w:val="29AB6A8E"/>
    <w:rsid w:val="2A086BE8"/>
    <w:rsid w:val="2A0D340F"/>
    <w:rsid w:val="2A131CC1"/>
    <w:rsid w:val="2A30033B"/>
    <w:rsid w:val="2A3300D0"/>
    <w:rsid w:val="2A891516"/>
    <w:rsid w:val="2AAA755A"/>
    <w:rsid w:val="2AC17BF6"/>
    <w:rsid w:val="2AD01739"/>
    <w:rsid w:val="2AE5718E"/>
    <w:rsid w:val="2B2A03F8"/>
    <w:rsid w:val="2BEE541D"/>
    <w:rsid w:val="2C0500E7"/>
    <w:rsid w:val="2C0765F6"/>
    <w:rsid w:val="2C1417B8"/>
    <w:rsid w:val="2C3A64F3"/>
    <w:rsid w:val="2C416E1D"/>
    <w:rsid w:val="2C6230AC"/>
    <w:rsid w:val="2D8F379E"/>
    <w:rsid w:val="2D961FAE"/>
    <w:rsid w:val="2DFB67B4"/>
    <w:rsid w:val="2DFE69B9"/>
    <w:rsid w:val="2E11282E"/>
    <w:rsid w:val="2E2619AD"/>
    <w:rsid w:val="2E37679F"/>
    <w:rsid w:val="2E723E68"/>
    <w:rsid w:val="2EE10029"/>
    <w:rsid w:val="2F0B120E"/>
    <w:rsid w:val="2F295FF6"/>
    <w:rsid w:val="2F46773B"/>
    <w:rsid w:val="2F8A27B6"/>
    <w:rsid w:val="2FD162F0"/>
    <w:rsid w:val="301601A6"/>
    <w:rsid w:val="303348B4"/>
    <w:rsid w:val="30590093"/>
    <w:rsid w:val="3092369A"/>
    <w:rsid w:val="30E72C1C"/>
    <w:rsid w:val="30FA41D8"/>
    <w:rsid w:val="31915EB1"/>
    <w:rsid w:val="31BC0DB8"/>
    <w:rsid w:val="31BD00FE"/>
    <w:rsid w:val="31CC3212"/>
    <w:rsid w:val="31D13B0D"/>
    <w:rsid w:val="324B664A"/>
    <w:rsid w:val="32F95A7D"/>
    <w:rsid w:val="3308561D"/>
    <w:rsid w:val="331309CD"/>
    <w:rsid w:val="3333274C"/>
    <w:rsid w:val="33621C13"/>
    <w:rsid w:val="338B5EC4"/>
    <w:rsid w:val="33DA14EB"/>
    <w:rsid w:val="343267DE"/>
    <w:rsid w:val="3449650D"/>
    <w:rsid w:val="345117AD"/>
    <w:rsid w:val="345D0774"/>
    <w:rsid w:val="346315DC"/>
    <w:rsid w:val="34891EF2"/>
    <w:rsid w:val="348E6502"/>
    <w:rsid w:val="34A13D7F"/>
    <w:rsid w:val="34C20EF2"/>
    <w:rsid w:val="35056060"/>
    <w:rsid w:val="3544515D"/>
    <w:rsid w:val="357339A5"/>
    <w:rsid w:val="35773163"/>
    <w:rsid w:val="357B02BB"/>
    <w:rsid w:val="35845F5E"/>
    <w:rsid w:val="35984FD8"/>
    <w:rsid w:val="35E35E30"/>
    <w:rsid w:val="361D3731"/>
    <w:rsid w:val="362529C8"/>
    <w:rsid w:val="36322480"/>
    <w:rsid w:val="363F0621"/>
    <w:rsid w:val="36790E13"/>
    <w:rsid w:val="368D3DB0"/>
    <w:rsid w:val="369C2048"/>
    <w:rsid w:val="36BB2843"/>
    <w:rsid w:val="36F3628D"/>
    <w:rsid w:val="37250A44"/>
    <w:rsid w:val="3755293C"/>
    <w:rsid w:val="377D6D5D"/>
    <w:rsid w:val="378123A9"/>
    <w:rsid w:val="37EC3A6D"/>
    <w:rsid w:val="37F45F6A"/>
    <w:rsid w:val="381F3DD4"/>
    <w:rsid w:val="382065A7"/>
    <w:rsid w:val="3825367C"/>
    <w:rsid w:val="384253AA"/>
    <w:rsid w:val="386817BB"/>
    <w:rsid w:val="3905423D"/>
    <w:rsid w:val="390E5EBF"/>
    <w:rsid w:val="3929628F"/>
    <w:rsid w:val="395413E3"/>
    <w:rsid w:val="3991089E"/>
    <w:rsid w:val="39917305"/>
    <w:rsid w:val="39970912"/>
    <w:rsid w:val="399B5A68"/>
    <w:rsid w:val="39E817E0"/>
    <w:rsid w:val="3A112368"/>
    <w:rsid w:val="3A1C729F"/>
    <w:rsid w:val="3A3E4582"/>
    <w:rsid w:val="3A403202"/>
    <w:rsid w:val="3A8E1317"/>
    <w:rsid w:val="3AB111F7"/>
    <w:rsid w:val="3AC867B4"/>
    <w:rsid w:val="3B363C2D"/>
    <w:rsid w:val="3B3650E5"/>
    <w:rsid w:val="3B4535A9"/>
    <w:rsid w:val="3B491430"/>
    <w:rsid w:val="3B5D699F"/>
    <w:rsid w:val="3B6E15B4"/>
    <w:rsid w:val="3B852049"/>
    <w:rsid w:val="3B9B5574"/>
    <w:rsid w:val="3BA30531"/>
    <w:rsid w:val="3BB229FC"/>
    <w:rsid w:val="3BB939AA"/>
    <w:rsid w:val="3BDC5B5D"/>
    <w:rsid w:val="3BDF32C1"/>
    <w:rsid w:val="3BEE6DCA"/>
    <w:rsid w:val="3BF87031"/>
    <w:rsid w:val="3BFA5703"/>
    <w:rsid w:val="3C974251"/>
    <w:rsid w:val="3CA476E1"/>
    <w:rsid w:val="3CAB7EC8"/>
    <w:rsid w:val="3CCB6605"/>
    <w:rsid w:val="3CD96766"/>
    <w:rsid w:val="3D13291C"/>
    <w:rsid w:val="3D190151"/>
    <w:rsid w:val="3D3A5B1B"/>
    <w:rsid w:val="3D477BF1"/>
    <w:rsid w:val="3DC51CD2"/>
    <w:rsid w:val="3DE33399"/>
    <w:rsid w:val="3E083492"/>
    <w:rsid w:val="3E3B1F10"/>
    <w:rsid w:val="3E7A2248"/>
    <w:rsid w:val="3EA67BB0"/>
    <w:rsid w:val="3EB94B1E"/>
    <w:rsid w:val="3EE5352D"/>
    <w:rsid w:val="3EEA64F3"/>
    <w:rsid w:val="3F0D7E4B"/>
    <w:rsid w:val="3F1F6AC4"/>
    <w:rsid w:val="3F501F43"/>
    <w:rsid w:val="3F5E792F"/>
    <w:rsid w:val="3F865485"/>
    <w:rsid w:val="3FA94B93"/>
    <w:rsid w:val="3FEC4A80"/>
    <w:rsid w:val="3FFF162F"/>
    <w:rsid w:val="4013025E"/>
    <w:rsid w:val="4041252A"/>
    <w:rsid w:val="40A17234"/>
    <w:rsid w:val="40EC3BD7"/>
    <w:rsid w:val="40F54AEB"/>
    <w:rsid w:val="4114428E"/>
    <w:rsid w:val="411D264B"/>
    <w:rsid w:val="41406E31"/>
    <w:rsid w:val="41513724"/>
    <w:rsid w:val="41CC0B1F"/>
    <w:rsid w:val="41D70437"/>
    <w:rsid w:val="41E7626C"/>
    <w:rsid w:val="41EF23BD"/>
    <w:rsid w:val="41FB71FC"/>
    <w:rsid w:val="41FD0097"/>
    <w:rsid w:val="42181B5C"/>
    <w:rsid w:val="422B3A6A"/>
    <w:rsid w:val="42592A0F"/>
    <w:rsid w:val="42A63C64"/>
    <w:rsid w:val="43173E1B"/>
    <w:rsid w:val="435F61EB"/>
    <w:rsid w:val="43616D4F"/>
    <w:rsid w:val="437A2DA5"/>
    <w:rsid w:val="437B0866"/>
    <w:rsid w:val="43C81391"/>
    <w:rsid w:val="43ED227B"/>
    <w:rsid w:val="44366514"/>
    <w:rsid w:val="44410C56"/>
    <w:rsid w:val="444E1706"/>
    <w:rsid w:val="44DA56C8"/>
    <w:rsid w:val="44F55F0B"/>
    <w:rsid w:val="44F81BB9"/>
    <w:rsid w:val="44FC0648"/>
    <w:rsid w:val="45371D5C"/>
    <w:rsid w:val="45541A72"/>
    <w:rsid w:val="456F4217"/>
    <w:rsid w:val="457A179C"/>
    <w:rsid w:val="45B147A1"/>
    <w:rsid w:val="46307D46"/>
    <w:rsid w:val="46566A32"/>
    <w:rsid w:val="466C7550"/>
    <w:rsid w:val="46853538"/>
    <w:rsid w:val="46AC160F"/>
    <w:rsid w:val="46DF47CF"/>
    <w:rsid w:val="472114B3"/>
    <w:rsid w:val="47414773"/>
    <w:rsid w:val="474A33A6"/>
    <w:rsid w:val="479472FE"/>
    <w:rsid w:val="47CD0732"/>
    <w:rsid w:val="47F13697"/>
    <w:rsid w:val="482230ED"/>
    <w:rsid w:val="482F19AD"/>
    <w:rsid w:val="48335AC8"/>
    <w:rsid w:val="484E61A2"/>
    <w:rsid w:val="48525A10"/>
    <w:rsid w:val="486C4694"/>
    <w:rsid w:val="486E0728"/>
    <w:rsid w:val="48906830"/>
    <w:rsid w:val="48916DA1"/>
    <w:rsid w:val="48FC136A"/>
    <w:rsid w:val="491C0988"/>
    <w:rsid w:val="4921579A"/>
    <w:rsid w:val="493F0E5A"/>
    <w:rsid w:val="495767FA"/>
    <w:rsid w:val="49612815"/>
    <w:rsid w:val="49895C76"/>
    <w:rsid w:val="49AB1508"/>
    <w:rsid w:val="49AD0B78"/>
    <w:rsid w:val="49EF45A5"/>
    <w:rsid w:val="49F97592"/>
    <w:rsid w:val="4A077A43"/>
    <w:rsid w:val="4A6E682C"/>
    <w:rsid w:val="4A9737DE"/>
    <w:rsid w:val="4AD31B9F"/>
    <w:rsid w:val="4AE71900"/>
    <w:rsid w:val="4B425FF4"/>
    <w:rsid w:val="4BA00F11"/>
    <w:rsid w:val="4BDC1641"/>
    <w:rsid w:val="4C092118"/>
    <w:rsid w:val="4C310FB1"/>
    <w:rsid w:val="4C65744F"/>
    <w:rsid w:val="4C6D53A3"/>
    <w:rsid w:val="4CD9638C"/>
    <w:rsid w:val="4D224D7B"/>
    <w:rsid w:val="4D28103A"/>
    <w:rsid w:val="4D5F045E"/>
    <w:rsid w:val="4D81127B"/>
    <w:rsid w:val="4DCC48A9"/>
    <w:rsid w:val="4DD45FA6"/>
    <w:rsid w:val="4E262742"/>
    <w:rsid w:val="4E30647F"/>
    <w:rsid w:val="4E3B45AE"/>
    <w:rsid w:val="4E4C27AF"/>
    <w:rsid w:val="4E7C435E"/>
    <w:rsid w:val="4EDB5DCC"/>
    <w:rsid w:val="4EE1340C"/>
    <w:rsid w:val="4EE505F0"/>
    <w:rsid w:val="4EEE0CAB"/>
    <w:rsid w:val="4EF83441"/>
    <w:rsid w:val="4F5E6D82"/>
    <w:rsid w:val="4FBD74F6"/>
    <w:rsid w:val="4FD618D0"/>
    <w:rsid w:val="4FD67ABB"/>
    <w:rsid w:val="50B071AB"/>
    <w:rsid w:val="512078A8"/>
    <w:rsid w:val="514A6671"/>
    <w:rsid w:val="51584B26"/>
    <w:rsid w:val="51B747D2"/>
    <w:rsid w:val="51BF7660"/>
    <w:rsid w:val="51D318AC"/>
    <w:rsid w:val="51FB1BBD"/>
    <w:rsid w:val="523F2527"/>
    <w:rsid w:val="52652C32"/>
    <w:rsid w:val="526F0FD4"/>
    <w:rsid w:val="52734B8D"/>
    <w:rsid w:val="52855615"/>
    <w:rsid w:val="52E23FAE"/>
    <w:rsid w:val="52F96D54"/>
    <w:rsid w:val="531814F6"/>
    <w:rsid w:val="53A15B06"/>
    <w:rsid w:val="53F347F7"/>
    <w:rsid w:val="5431392D"/>
    <w:rsid w:val="54451B66"/>
    <w:rsid w:val="5465760A"/>
    <w:rsid w:val="54991A17"/>
    <w:rsid w:val="54AD1B68"/>
    <w:rsid w:val="54F6383E"/>
    <w:rsid w:val="54FB2D1D"/>
    <w:rsid w:val="550F0FAB"/>
    <w:rsid w:val="55CF657E"/>
    <w:rsid w:val="560525C7"/>
    <w:rsid w:val="564C65AD"/>
    <w:rsid w:val="56D30B43"/>
    <w:rsid w:val="56DA2349"/>
    <w:rsid w:val="56E16A1A"/>
    <w:rsid w:val="573D0062"/>
    <w:rsid w:val="57BE1B0B"/>
    <w:rsid w:val="57C43E05"/>
    <w:rsid w:val="585B234B"/>
    <w:rsid w:val="586718B8"/>
    <w:rsid w:val="588F6894"/>
    <w:rsid w:val="58AD0DF8"/>
    <w:rsid w:val="593F43D8"/>
    <w:rsid w:val="59963F20"/>
    <w:rsid w:val="5A825EF7"/>
    <w:rsid w:val="5A994C7F"/>
    <w:rsid w:val="5AB53B76"/>
    <w:rsid w:val="5AC9786A"/>
    <w:rsid w:val="5ADA7E9F"/>
    <w:rsid w:val="5B0F0320"/>
    <w:rsid w:val="5B312409"/>
    <w:rsid w:val="5B661732"/>
    <w:rsid w:val="5B725586"/>
    <w:rsid w:val="5B8602D3"/>
    <w:rsid w:val="5BB02E65"/>
    <w:rsid w:val="5BD14DFE"/>
    <w:rsid w:val="5BF627B6"/>
    <w:rsid w:val="5C035B2A"/>
    <w:rsid w:val="5CD570D3"/>
    <w:rsid w:val="5D0857B2"/>
    <w:rsid w:val="5D1D22C5"/>
    <w:rsid w:val="5D9740A3"/>
    <w:rsid w:val="5D9926DB"/>
    <w:rsid w:val="5DB1138B"/>
    <w:rsid w:val="5DDF68A2"/>
    <w:rsid w:val="5DEB3A95"/>
    <w:rsid w:val="5E1876F1"/>
    <w:rsid w:val="5E6C1AD1"/>
    <w:rsid w:val="5E7375E4"/>
    <w:rsid w:val="5EAC49D4"/>
    <w:rsid w:val="5EB11BF3"/>
    <w:rsid w:val="5EC02718"/>
    <w:rsid w:val="5EEB6A4E"/>
    <w:rsid w:val="5EED6175"/>
    <w:rsid w:val="5EEE575D"/>
    <w:rsid w:val="5F2B79A0"/>
    <w:rsid w:val="5FAF1150"/>
    <w:rsid w:val="5FCF0474"/>
    <w:rsid w:val="5FE315A4"/>
    <w:rsid w:val="60546337"/>
    <w:rsid w:val="60AC58F0"/>
    <w:rsid w:val="60B12B26"/>
    <w:rsid w:val="60C211B9"/>
    <w:rsid w:val="60C54A9E"/>
    <w:rsid w:val="60CD4AF4"/>
    <w:rsid w:val="60E926E1"/>
    <w:rsid w:val="611507AA"/>
    <w:rsid w:val="61580901"/>
    <w:rsid w:val="61821032"/>
    <w:rsid w:val="61957BB4"/>
    <w:rsid w:val="61E65922"/>
    <w:rsid w:val="620E7D2E"/>
    <w:rsid w:val="621F331A"/>
    <w:rsid w:val="625C0A94"/>
    <w:rsid w:val="62695260"/>
    <w:rsid w:val="62731338"/>
    <w:rsid w:val="627464B2"/>
    <w:rsid w:val="629E17B2"/>
    <w:rsid w:val="62B12E70"/>
    <w:rsid w:val="62CD199F"/>
    <w:rsid w:val="62CF1B48"/>
    <w:rsid w:val="62E143FC"/>
    <w:rsid w:val="62FB30A8"/>
    <w:rsid w:val="6319265F"/>
    <w:rsid w:val="63260125"/>
    <w:rsid w:val="63272EBA"/>
    <w:rsid w:val="63293771"/>
    <w:rsid w:val="636008E4"/>
    <w:rsid w:val="63962AF7"/>
    <w:rsid w:val="63BD3EBA"/>
    <w:rsid w:val="63C80C6B"/>
    <w:rsid w:val="644D1570"/>
    <w:rsid w:val="64C445E0"/>
    <w:rsid w:val="64D70FAB"/>
    <w:rsid w:val="64E123EF"/>
    <w:rsid w:val="64F0254D"/>
    <w:rsid w:val="651F1D18"/>
    <w:rsid w:val="65240694"/>
    <w:rsid w:val="652E2C76"/>
    <w:rsid w:val="65612E01"/>
    <w:rsid w:val="65794EE5"/>
    <w:rsid w:val="657F14A4"/>
    <w:rsid w:val="65A17F37"/>
    <w:rsid w:val="65A2780B"/>
    <w:rsid w:val="662F0290"/>
    <w:rsid w:val="664E35C3"/>
    <w:rsid w:val="67147FFE"/>
    <w:rsid w:val="67174CD8"/>
    <w:rsid w:val="672E2201"/>
    <w:rsid w:val="679D0AFB"/>
    <w:rsid w:val="67A31759"/>
    <w:rsid w:val="67CA26B6"/>
    <w:rsid w:val="67DC6713"/>
    <w:rsid w:val="67F105D6"/>
    <w:rsid w:val="680F14E1"/>
    <w:rsid w:val="689C0BB5"/>
    <w:rsid w:val="68C85D99"/>
    <w:rsid w:val="69347254"/>
    <w:rsid w:val="696641E0"/>
    <w:rsid w:val="69806B51"/>
    <w:rsid w:val="69E95178"/>
    <w:rsid w:val="6A0F0346"/>
    <w:rsid w:val="6A3E3397"/>
    <w:rsid w:val="6A4073F1"/>
    <w:rsid w:val="6A417133"/>
    <w:rsid w:val="6A815E03"/>
    <w:rsid w:val="6A912080"/>
    <w:rsid w:val="6A9B1550"/>
    <w:rsid w:val="6B5F57CF"/>
    <w:rsid w:val="6B753A58"/>
    <w:rsid w:val="6B786979"/>
    <w:rsid w:val="6B9A41A6"/>
    <w:rsid w:val="6BA05118"/>
    <w:rsid w:val="6BAB0F50"/>
    <w:rsid w:val="6BAE4C35"/>
    <w:rsid w:val="6BCF5CD2"/>
    <w:rsid w:val="6BDC1005"/>
    <w:rsid w:val="6BEE3329"/>
    <w:rsid w:val="6C3F4006"/>
    <w:rsid w:val="6C461F27"/>
    <w:rsid w:val="6C7F789D"/>
    <w:rsid w:val="6C9B4B0C"/>
    <w:rsid w:val="6CA44AD1"/>
    <w:rsid w:val="6D45758A"/>
    <w:rsid w:val="6D5464EB"/>
    <w:rsid w:val="6D6C2BD8"/>
    <w:rsid w:val="6D700B71"/>
    <w:rsid w:val="6D8C6383"/>
    <w:rsid w:val="6D9437EB"/>
    <w:rsid w:val="6DE76B08"/>
    <w:rsid w:val="6DF10F72"/>
    <w:rsid w:val="6E184857"/>
    <w:rsid w:val="6E3B06A5"/>
    <w:rsid w:val="6E422660"/>
    <w:rsid w:val="6E4B2F8B"/>
    <w:rsid w:val="6E527072"/>
    <w:rsid w:val="6E5636F5"/>
    <w:rsid w:val="6EB651DC"/>
    <w:rsid w:val="6ECD074A"/>
    <w:rsid w:val="6EDC1FE0"/>
    <w:rsid w:val="6F060765"/>
    <w:rsid w:val="6F0856A1"/>
    <w:rsid w:val="6F492224"/>
    <w:rsid w:val="6F6B5112"/>
    <w:rsid w:val="6FB013A8"/>
    <w:rsid w:val="700D246F"/>
    <w:rsid w:val="70133A79"/>
    <w:rsid w:val="702C5983"/>
    <w:rsid w:val="702D1D54"/>
    <w:rsid w:val="70800C72"/>
    <w:rsid w:val="70EB38B6"/>
    <w:rsid w:val="7130216F"/>
    <w:rsid w:val="71470D84"/>
    <w:rsid w:val="71484903"/>
    <w:rsid w:val="714D0778"/>
    <w:rsid w:val="71C254BD"/>
    <w:rsid w:val="71DC4B8C"/>
    <w:rsid w:val="722174EE"/>
    <w:rsid w:val="722A54F9"/>
    <w:rsid w:val="7253406B"/>
    <w:rsid w:val="726E4E80"/>
    <w:rsid w:val="72736DF5"/>
    <w:rsid w:val="72970F58"/>
    <w:rsid w:val="72B568DF"/>
    <w:rsid w:val="730A1110"/>
    <w:rsid w:val="73660688"/>
    <w:rsid w:val="73960D1E"/>
    <w:rsid w:val="73E97A4A"/>
    <w:rsid w:val="7434298D"/>
    <w:rsid w:val="744E128A"/>
    <w:rsid w:val="746A5D3B"/>
    <w:rsid w:val="7480057A"/>
    <w:rsid w:val="74F34D98"/>
    <w:rsid w:val="74FF2584"/>
    <w:rsid w:val="75041948"/>
    <w:rsid w:val="75891294"/>
    <w:rsid w:val="75937A77"/>
    <w:rsid w:val="75A36913"/>
    <w:rsid w:val="75B37082"/>
    <w:rsid w:val="75D44E94"/>
    <w:rsid w:val="75ED7117"/>
    <w:rsid w:val="762776D8"/>
    <w:rsid w:val="769C08DD"/>
    <w:rsid w:val="76F114EA"/>
    <w:rsid w:val="771542E1"/>
    <w:rsid w:val="7726029C"/>
    <w:rsid w:val="776267A2"/>
    <w:rsid w:val="77697431"/>
    <w:rsid w:val="77732DB5"/>
    <w:rsid w:val="77C11D73"/>
    <w:rsid w:val="77C566DA"/>
    <w:rsid w:val="77C90C27"/>
    <w:rsid w:val="77E31CE9"/>
    <w:rsid w:val="77EB629F"/>
    <w:rsid w:val="78575BE0"/>
    <w:rsid w:val="786838E4"/>
    <w:rsid w:val="7884363F"/>
    <w:rsid w:val="788640F0"/>
    <w:rsid w:val="78D46947"/>
    <w:rsid w:val="79361C74"/>
    <w:rsid w:val="79502938"/>
    <w:rsid w:val="795C12A9"/>
    <w:rsid w:val="7991693E"/>
    <w:rsid w:val="79A67D40"/>
    <w:rsid w:val="79B06D17"/>
    <w:rsid w:val="79EA07D5"/>
    <w:rsid w:val="79FE2952"/>
    <w:rsid w:val="7A28257D"/>
    <w:rsid w:val="7A3B6BF7"/>
    <w:rsid w:val="7A3C4B22"/>
    <w:rsid w:val="7A543372"/>
    <w:rsid w:val="7A5B3D8A"/>
    <w:rsid w:val="7A655505"/>
    <w:rsid w:val="7A757797"/>
    <w:rsid w:val="7ABE0A87"/>
    <w:rsid w:val="7AF254D8"/>
    <w:rsid w:val="7B2E5971"/>
    <w:rsid w:val="7B56052B"/>
    <w:rsid w:val="7B8F52D5"/>
    <w:rsid w:val="7BA07E5A"/>
    <w:rsid w:val="7C0028ED"/>
    <w:rsid w:val="7C2929DE"/>
    <w:rsid w:val="7C2A3B25"/>
    <w:rsid w:val="7C7C2996"/>
    <w:rsid w:val="7C7E0A9A"/>
    <w:rsid w:val="7C977546"/>
    <w:rsid w:val="7CA11065"/>
    <w:rsid w:val="7CC4520D"/>
    <w:rsid w:val="7CC6233F"/>
    <w:rsid w:val="7CC846E8"/>
    <w:rsid w:val="7CCC371E"/>
    <w:rsid w:val="7CFC3471"/>
    <w:rsid w:val="7D03198E"/>
    <w:rsid w:val="7D225061"/>
    <w:rsid w:val="7D847ACA"/>
    <w:rsid w:val="7D8B5371"/>
    <w:rsid w:val="7DB66CF6"/>
    <w:rsid w:val="7DEB7B2D"/>
    <w:rsid w:val="7DF12C77"/>
    <w:rsid w:val="7DF369BB"/>
    <w:rsid w:val="7E0772A7"/>
    <w:rsid w:val="7E37385D"/>
    <w:rsid w:val="7E6C06E8"/>
    <w:rsid w:val="7E7D46C1"/>
    <w:rsid w:val="7EA321D2"/>
    <w:rsid w:val="7ECB4737"/>
    <w:rsid w:val="7EE625CB"/>
    <w:rsid w:val="7EF33D3E"/>
    <w:rsid w:val="7F121A27"/>
    <w:rsid w:val="7F8216CF"/>
    <w:rsid w:val="7F937D05"/>
    <w:rsid w:val="7FCC50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iPriority="99"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qFormat="1"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eastAsia="宋体" w:asciiTheme="minorAscii" w:hAnsiTheme="minorAscii" w:cstheme="minorBidi"/>
      <w:kern w:val="2"/>
      <w:sz w:val="28"/>
      <w:szCs w:val="22"/>
      <w:lang w:val="en-US" w:eastAsia="zh-CN" w:bidi="ar-SA"/>
    </w:rPr>
  </w:style>
  <w:style w:type="paragraph" w:styleId="2">
    <w:name w:val="heading 1"/>
    <w:basedOn w:val="1"/>
    <w:next w:val="1"/>
    <w:link w:val="45"/>
    <w:qFormat/>
    <w:uiPriority w:val="9"/>
    <w:pPr>
      <w:keepNext/>
      <w:keepLines/>
      <w:numPr>
        <w:ilvl w:val="0"/>
        <w:numId w:val="1"/>
      </w:numPr>
      <w:spacing w:before="340" w:after="330" w:line="578" w:lineRule="auto"/>
      <w:ind w:firstLineChars="0"/>
      <w:outlineLvl w:val="0"/>
    </w:pPr>
    <w:rPr>
      <w:b/>
      <w:bCs/>
      <w:kern w:val="44"/>
      <w:sz w:val="44"/>
      <w:szCs w:val="44"/>
    </w:rPr>
  </w:style>
  <w:style w:type="paragraph" w:styleId="3">
    <w:name w:val="heading 2"/>
    <w:basedOn w:val="1"/>
    <w:next w:val="1"/>
    <w:link w:val="46"/>
    <w:unhideWhenUsed/>
    <w:qFormat/>
    <w:uiPriority w:val="9"/>
    <w:pPr>
      <w:keepNext/>
      <w:keepLines/>
      <w:numPr>
        <w:ilvl w:val="1"/>
        <w:numId w:val="1"/>
      </w:numPr>
      <w:spacing w:before="260" w:after="260" w:line="416" w:lineRule="auto"/>
      <w:ind w:left="575" w:hanging="575" w:firstLineChars="0"/>
      <w:outlineLvl w:val="1"/>
    </w:pPr>
    <w:rPr>
      <w:rFonts w:asciiTheme="majorHAnsi" w:hAnsiTheme="majorHAnsi" w:eastAsiaTheme="majorEastAsia" w:cstheme="majorBidi"/>
      <w:b/>
      <w:bCs/>
      <w:sz w:val="32"/>
      <w:szCs w:val="32"/>
    </w:rPr>
  </w:style>
  <w:style w:type="paragraph" w:styleId="4">
    <w:name w:val="heading 3"/>
    <w:basedOn w:val="1"/>
    <w:next w:val="1"/>
    <w:link w:val="47"/>
    <w:unhideWhenUsed/>
    <w:qFormat/>
    <w:uiPriority w:val="9"/>
    <w:pPr>
      <w:keepNext/>
      <w:keepLines/>
      <w:numPr>
        <w:ilvl w:val="2"/>
        <w:numId w:val="1"/>
      </w:numPr>
      <w:spacing w:before="260" w:after="260" w:line="416" w:lineRule="auto"/>
      <w:ind w:firstLineChars="0"/>
      <w:outlineLvl w:val="2"/>
    </w:pPr>
    <w:rPr>
      <w:b/>
      <w:bCs/>
      <w:sz w:val="32"/>
      <w:szCs w:val="32"/>
    </w:rPr>
  </w:style>
  <w:style w:type="paragraph" w:styleId="5">
    <w:name w:val="heading 4"/>
    <w:basedOn w:val="1"/>
    <w:next w:val="1"/>
    <w:link w:val="48"/>
    <w:unhideWhenUsed/>
    <w:qFormat/>
    <w:uiPriority w:val="9"/>
    <w:pPr>
      <w:keepNext/>
      <w:keepLines/>
      <w:numPr>
        <w:ilvl w:val="3"/>
        <w:numId w:val="1"/>
      </w:numPr>
      <w:spacing w:before="280" w:after="290" w:line="376" w:lineRule="auto"/>
      <w:ind w:firstLineChars="0"/>
      <w:outlineLvl w:val="3"/>
    </w:pPr>
    <w:rPr>
      <w:rFonts w:asciiTheme="majorHAnsi" w:hAnsiTheme="majorHAnsi" w:eastAsiaTheme="majorEastAsia" w:cstheme="majorBidi"/>
      <w:b/>
      <w:bCs/>
      <w:szCs w:val="28"/>
    </w:rPr>
  </w:style>
  <w:style w:type="paragraph" w:styleId="6">
    <w:name w:val="heading 5"/>
    <w:basedOn w:val="1"/>
    <w:next w:val="1"/>
    <w:link w:val="62"/>
    <w:semiHidden/>
    <w:unhideWhenUsed/>
    <w:qFormat/>
    <w:uiPriority w:val="9"/>
    <w:pPr>
      <w:keepNext/>
      <w:keepLines/>
      <w:numPr>
        <w:ilvl w:val="4"/>
        <w:numId w:val="1"/>
      </w:numPr>
      <w:spacing w:before="280" w:after="290" w:line="376" w:lineRule="auto"/>
      <w:ind w:firstLineChars="0"/>
      <w:outlineLvl w:val="4"/>
    </w:pPr>
    <w:rPr>
      <w:b/>
      <w:bCs/>
      <w:szCs w:val="28"/>
    </w:rPr>
  </w:style>
  <w:style w:type="paragraph" w:styleId="7">
    <w:name w:val="heading 6"/>
    <w:basedOn w:val="1"/>
    <w:next w:val="1"/>
    <w:link w:val="63"/>
    <w:semiHidden/>
    <w:unhideWhenUsed/>
    <w:qFormat/>
    <w:uiPriority w:val="9"/>
    <w:pPr>
      <w:keepNext/>
      <w:keepLines/>
      <w:numPr>
        <w:ilvl w:val="5"/>
        <w:numId w:val="1"/>
      </w:numPr>
      <w:spacing w:before="240" w:after="64" w:line="320" w:lineRule="auto"/>
      <w:ind w:left="1151" w:hanging="1151" w:firstLineChars="0"/>
      <w:outlineLvl w:val="5"/>
    </w:pPr>
    <w:rPr>
      <w:rFonts w:asciiTheme="majorHAnsi" w:hAnsiTheme="majorHAnsi" w:eastAsiaTheme="majorEastAsia" w:cstheme="majorBidi"/>
      <w:b/>
      <w:bCs/>
      <w:sz w:val="24"/>
      <w:szCs w:val="24"/>
    </w:rPr>
  </w:style>
  <w:style w:type="paragraph" w:styleId="8">
    <w:name w:val="heading 7"/>
    <w:basedOn w:val="1"/>
    <w:next w:val="1"/>
    <w:link w:val="64"/>
    <w:semiHidden/>
    <w:unhideWhenUsed/>
    <w:qFormat/>
    <w:uiPriority w:val="9"/>
    <w:pPr>
      <w:keepNext/>
      <w:keepLines/>
      <w:numPr>
        <w:ilvl w:val="6"/>
        <w:numId w:val="1"/>
      </w:numPr>
      <w:spacing w:before="240" w:after="64" w:line="320" w:lineRule="auto"/>
      <w:ind w:firstLineChars="0"/>
      <w:outlineLvl w:val="6"/>
    </w:pPr>
    <w:rPr>
      <w:b/>
      <w:bCs/>
      <w:sz w:val="24"/>
      <w:szCs w:val="24"/>
    </w:rPr>
  </w:style>
  <w:style w:type="paragraph" w:styleId="9">
    <w:name w:val="heading 8"/>
    <w:basedOn w:val="1"/>
    <w:next w:val="1"/>
    <w:link w:val="65"/>
    <w:semiHidden/>
    <w:unhideWhenUsed/>
    <w:qFormat/>
    <w:uiPriority w:val="9"/>
    <w:pPr>
      <w:keepNext/>
      <w:keepLines/>
      <w:numPr>
        <w:ilvl w:val="7"/>
        <w:numId w:val="1"/>
      </w:numPr>
      <w:spacing w:before="240" w:after="64" w:line="320" w:lineRule="auto"/>
      <w:ind w:firstLineChars="0"/>
      <w:outlineLvl w:val="7"/>
    </w:pPr>
    <w:rPr>
      <w:rFonts w:asciiTheme="majorHAnsi" w:hAnsiTheme="majorHAnsi" w:eastAsiaTheme="majorEastAsia" w:cstheme="majorBidi"/>
      <w:sz w:val="24"/>
      <w:szCs w:val="24"/>
    </w:rPr>
  </w:style>
  <w:style w:type="paragraph" w:styleId="10">
    <w:name w:val="heading 9"/>
    <w:basedOn w:val="1"/>
    <w:next w:val="1"/>
    <w:link w:val="66"/>
    <w:semiHidden/>
    <w:unhideWhenUsed/>
    <w:qFormat/>
    <w:uiPriority w:val="9"/>
    <w:pPr>
      <w:keepNext/>
      <w:keepLines/>
      <w:numPr>
        <w:ilvl w:val="8"/>
        <w:numId w:val="1"/>
      </w:numPr>
      <w:spacing w:before="240" w:after="64" w:line="320" w:lineRule="auto"/>
      <w:ind w:left="1583" w:hanging="1583" w:firstLineChars="0"/>
      <w:outlineLvl w:val="8"/>
    </w:pPr>
    <w:rPr>
      <w:rFonts w:asciiTheme="majorHAnsi" w:hAnsiTheme="majorHAnsi" w:eastAsiaTheme="majorEastAsia" w:cstheme="majorBidi"/>
      <w:sz w:val="21"/>
      <w:szCs w:val="21"/>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spacing w:line="240" w:lineRule="auto"/>
      <w:ind w:left="2520" w:leftChars="1200" w:firstLine="0" w:firstLineChars="0"/>
    </w:pPr>
    <w:rPr>
      <w:sz w:val="21"/>
    </w:rPr>
  </w:style>
  <w:style w:type="paragraph" w:styleId="12">
    <w:name w:val="Normal Indent"/>
    <w:basedOn w:val="1"/>
    <w:next w:val="13"/>
    <w:link w:val="95"/>
    <w:unhideWhenUsed/>
    <w:qFormat/>
    <w:uiPriority w:val="99"/>
    <w:pPr>
      <w:ind w:firstLine="420"/>
    </w:pPr>
    <w:rPr>
      <w:rFonts w:eastAsia="宋体"/>
    </w:rPr>
  </w:style>
  <w:style w:type="paragraph" w:styleId="13">
    <w:name w:val="toc 4"/>
    <w:basedOn w:val="1"/>
    <w:next w:val="1"/>
    <w:unhideWhenUsed/>
    <w:qFormat/>
    <w:uiPriority w:val="39"/>
    <w:pPr>
      <w:spacing w:line="240" w:lineRule="auto"/>
      <w:ind w:left="1260" w:leftChars="600" w:firstLine="0" w:firstLineChars="0"/>
    </w:pPr>
    <w:rPr>
      <w:sz w:val="21"/>
    </w:rPr>
  </w:style>
  <w:style w:type="paragraph" w:styleId="14">
    <w:name w:val="caption"/>
    <w:basedOn w:val="1"/>
    <w:next w:val="1"/>
    <w:semiHidden/>
    <w:unhideWhenUsed/>
    <w:qFormat/>
    <w:uiPriority w:val="35"/>
    <w:rPr>
      <w:rFonts w:ascii="Arial" w:hAnsi="Arial" w:eastAsia="黑体"/>
      <w:sz w:val="20"/>
    </w:rPr>
  </w:style>
  <w:style w:type="paragraph" w:styleId="15">
    <w:name w:val="Body Text"/>
    <w:basedOn w:val="1"/>
    <w:link w:val="96"/>
    <w:qFormat/>
    <w:uiPriority w:val="1"/>
    <w:rPr>
      <w:rFonts w:cs="Times New Roman"/>
      <w:szCs w:val="24"/>
    </w:rPr>
  </w:style>
  <w:style w:type="paragraph" w:styleId="16">
    <w:name w:val="Body Text Indent"/>
    <w:basedOn w:val="1"/>
    <w:qFormat/>
    <w:uiPriority w:val="0"/>
    <w:pPr>
      <w:widowControl/>
      <w:spacing w:line="240" w:lineRule="auto"/>
      <w:ind w:firstLine="612"/>
      <w:jc w:val="left"/>
    </w:pPr>
    <w:rPr>
      <w:rFonts w:ascii="宋体"/>
      <w:sz w:val="30"/>
      <w:szCs w:val="20"/>
    </w:rPr>
  </w:style>
  <w:style w:type="paragraph" w:styleId="17">
    <w:name w:val="toc 5"/>
    <w:basedOn w:val="1"/>
    <w:next w:val="1"/>
    <w:unhideWhenUsed/>
    <w:qFormat/>
    <w:uiPriority w:val="39"/>
    <w:pPr>
      <w:spacing w:line="240" w:lineRule="auto"/>
      <w:ind w:left="1680" w:leftChars="800" w:firstLine="0" w:firstLineChars="0"/>
    </w:pPr>
    <w:rPr>
      <w:sz w:val="21"/>
    </w:rPr>
  </w:style>
  <w:style w:type="paragraph" w:styleId="18">
    <w:name w:val="toc 3"/>
    <w:basedOn w:val="1"/>
    <w:next w:val="1"/>
    <w:unhideWhenUsed/>
    <w:qFormat/>
    <w:uiPriority w:val="39"/>
    <w:pPr>
      <w:widowControl/>
      <w:spacing w:after="100" w:line="276" w:lineRule="auto"/>
      <w:ind w:left="440" w:firstLine="0" w:firstLineChars="0"/>
      <w:jc w:val="left"/>
    </w:pPr>
    <w:rPr>
      <w:kern w:val="0"/>
      <w:sz w:val="22"/>
    </w:rPr>
  </w:style>
  <w:style w:type="paragraph" w:styleId="19">
    <w:name w:val="toc 8"/>
    <w:basedOn w:val="1"/>
    <w:next w:val="1"/>
    <w:unhideWhenUsed/>
    <w:qFormat/>
    <w:uiPriority w:val="39"/>
    <w:pPr>
      <w:spacing w:line="240" w:lineRule="auto"/>
      <w:ind w:left="2940" w:leftChars="1400" w:firstLine="0" w:firstLineChars="0"/>
    </w:pPr>
    <w:rPr>
      <w:sz w:val="21"/>
    </w:rPr>
  </w:style>
  <w:style w:type="paragraph" w:styleId="20">
    <w:name w:val="Balloon Text"/>
    <w:basedOn w:val="1"/>
    <w:link w:val="50"/>
    <w:unhideWhenUsed/>
    <w:qFormat/>
    <w:uiPriority w:val="99"/>
    <w:pPr>
      <w:spacing w:line="240" w:lineRule="auto"/>
    </w:pPr>
    <w:rPr>
      <w:sz w:val="18"/>
      <w:szCs w:val="18"/>
    </w:rPr>
  </w:style>
  <w:style w:type="paragraph" w:styleId="21">
    <w:name w:val="footer"/>
    <w:basedOn w:val="1"/>
    <w:link w:val="61"/>
    <w:unhideWhenUsed/>
    <w:qFormat/>
    <w:uiPriority w:val="99"/>
    <w:pPr>
      <w:pBdr>
        <w:top w:val="single" w:color="auto" w:sz="4" w:space="1"/>
        <w:left w:val="none" w:color="auto" w:sz="0" w:space="4"/>
        <w:bottom w:val="none" w:color="auto" w:sz="0" w:space="1"/>
        <w:right w:val="none" w:color="auto" w:sz="0" w:space="4"/>
      </w:pBdr>
      <w:tabs>
        <w:tab w:val="center" w:pos="4153"/>
        <w:tab w:val="right" w:pos="8306"/>
      </w:tabs>
      <w:snapToGrid w:val="0"/>
      <w:spacing w:line="240" w:lineRule="auto"/>
      <w:jc w:val="left"/>
    </w:pPr>
    <w:rPr>
      <w:sz w:val="18"/>
      <w:szCs w:val="18"/>
    </w:rPr>
  </w:style>
  <w:style w:type="paragraph" w:styleId="22">
    <w:name w:val="envelope return"/>
    <w:basedOn w:val="1"/>
    <w:qFormat/>
    <w:uiPriority w:val="0"/>
    <w:pPr>
      <w:snapToGrid w:val="0"/>
    </w:pPr>
    <w:rPr>
      <w:rFonts w:ascii="Arial" w:hAnsi="Arial"/>
    </w:rPr>
  </w:style>
  <w:style w:type="paragraph" w:styleId="23">
    <w:name w:val="header"/>
    <w:basedOn w:val="1"/>
    <w:link w:val="60"/>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center"/>
    </w:pPr>
    <w:rPr>
      <w:sz w:val="18"/>
      <w:szCs w:val="18"/>
    </w:rPr>
  </w:style>
  <w:style w:type="paragraph" w:styleId="24">
    <w:name w:val="toc 1"/>
    <w:basedOn w:val="1"/>
    <w:next w:val="1"/>
    <w:unhideWhenUsed/>
    <w:qFormat/>
    <w:uiPriority w:val="39"/>
    <w:pPr>
      <w:widowControl/>
      <w:tabs>
        <w:tab w:val="left" w:pos="1260"/>
        <w:tab w:val="right" w:leader="dot" w:pos="9889"/>
      </w:tabs>
      <w:spacing w:after="100" w:line="276" w:lineRule="auto"/>
      <w:ind w:firstLine="480" w:firstLineChars="0"/>
      <w:jc w:val="left"/>
    </w:pPr>
    <w:rPr>
      <w:kern w:val="0"/>
      <w:sz w:val="22"/>
    </w:rPr>
  </w:style>
  <w:style w:type="paragraph" w:styleId="25">
    <w:name w:val="toc 6"/>
    <w:basedOn w:val="1"/>
    <w:next w:val="1"/>
    <w:unhideWhenUsed/>
    <w:qFormat/>
    <w:uiPriority w:val="39"/>
    <w:pPr>
      <w:spacing w:line="240" w:lineRule="auto"/>
      <w:ind w:left="2100" w:leftChars="1000" w:firstLine="0" w:firstLineChars="0"/>
    </w:pPr>
    <w:rPr>
      <w:sz w:val="21"/>
    </w:rPr>
  </w:style>
  <w:style w:type="paragraph" w:styleId="26">
    <w:name w:val="toc 2"/>
    <w:basedOn w:val="1"/>
    <w:next w:val="1"/>
    <w:unhideWhenUsed/>
    <w:qFormat/>
    <w:uiPriority w:val="39"/>
    <w:pPr>
      <w:widowControl/>
      <w:spacing w:after="100" w:line="276" w:lineRule="auto"/>
      <w:ind w:left="220" w:firstLine="0" w:firstLineChars="0"/>
      <w:jc w:val="left"/>
    </w:pPr>
    <w:rPr>
      <w:kern w:val="0"/>
      <w:sz w:val="22"/>
    </w:rPr>
  </w:style>
  <w:style w:type="paragraph" w:styleId="27">
    <w:name w:val="toc 9"/>
    <w:basedOn w:val="1"/>
    <w:next w:val="1"/>
    <w:unhideWhenUsed/>
    <w:qFormat/>
    <w:uiPriority w:val="39"/>
    <w:pPr>
      <w:spacing w:line="240" w:lineRule="auto"/>
      <w:ind w:left="3360" w:leftChars="1600" w:firstLine="0" w:firstLineChars="0"/>
    </w:pPr>
    <w:rPr>
      <w:sz w:val="21"/>
    </w:rPr>
  </w:style>
  <w:style w:type="paragraph" w:styleId="28">
    <w:name w:val="Body Text 2"/>
    <w:basedOn w:val="1"/>
    <w:link w:val="86"/>
    <w:semiHidden/>
    <w:unhideWhenUsed/>
    <w:qFormat/>
    <w:uiPriority w:val="99"/>
    <w:pPr>
      <w:numPr>
        <w:ilvl w:val="1"/>
        <w:numId w:val="2"/>
      </w:numPr>
      <w:spacing w:after="120" w:line="480" w:lineRule="auto"/>
      <w:jc w:val="left"/>
    </w:pPr>
    <w:rPr>
      <w:rFonts w:ascii="Times New Roman" w:hAnsi="Times New Roman"/>
      <w:sz w:val="24"/>
      <w:szCs w:val="21"/>
    </w:rPr>
  </w:style>
  <w:style w:type="paragraph" w:styleId="29">
    <w:name w:val="Normal (Web)"/>
    <w:basedOn w:val="1"/>
    <w:qFormat/>
    <w:uiPriority w:val="0"/>
    <w:pPr>
      <w:spacing w:before="100" w:beforeAutospacing="1" w:after="100" w:afterAutospacing="1"/>
      <w:jc w:val="left"/>
    </w:pPr>
    <w:rPr>
      <w:rFonts w:cs="Times New Roman"/>
      <w:kern w:val="0"/>
      <w:sz w:val="24"/>
    </w:rPr>
  </w:style>
  <w:style w:type="paragraph" w:styleId="30">
    <w:name w:val="Body Text First Indent 2"/>
    <w:basedOn w:val="16"/>
    <w:qFormat/>
    <w:uiPriority w:val="0"/>
    <w:pPr>
      <w:widowControl/>
      <w:spacing w:after="120" w:line="240" w:lineRule="auto"/>
      <w:ind w:left="420" w:firstLine="210"/>
      <w:jc w:val="left"/>
    </w:pPr>
    <w:rPr>
      <w:sz w:val="21"/>
      <w:szCs w:val="20"/>
    </w:rPr>
  </w:style>
  <w:style w:type="table" w:styleId="32">
    <w:name w:val="Table Grid"/>
    <w:basedOn w:val="31"/>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4">
    <w:name w:val="Emphasis"/>
    <w:basedOn w:val="33"/>
    <w:qFormat/>
    <w:uiPriority w:val="20"/>
    <w:rPr>
      <w:i/>
    </w:rPr>
  </w:style>
  <w:style w:type="character" w:styleId="35">
    <w:name w:val="Hyperlink"/>
    <w:basedOn w:val="33"/>
    <w:unhideWhenUsed/>
    <w:qFormat/>
    <w:uiPriority w:val="99"/>
    <w:rPr>
      <w:color w:val="0000FF" w:themeColor="hyperlink"/>
      <w:u w:val="single"/>
      <w14:textFill>
        <w14:solidFill>
          <w14:schemeClr w14:val="hlink"/>
        </w14:solidFill>
      </w14:textFill>
    </w:rPr>
  </w:style>
  <w:style w:type="paragraph" w:customStyle="1" w:styleId="36">
    <w:name w:val="表格文字"/>
    <w:basedOn w:val="1"/>
    <w:qFormat/>
    <w:uiPriority w:val="0"/>
    <w:pPr>
      <w:spacing w:before="25" w:after="25" w:line="300" w:lineRule="auto"/>
    </w:pPr>
    <w:rPr>
      <w:rFonts w:ascii="Times" w:hAnsi="Times"/>
      <w:spacing w:val="10"/>
      <w:kern w:val="0"/>
      <w:szCs w:val="20"/>
    </w:rPr>
  </w:style>
  <w:style w:type="paragraph" w:customStyle="1" w:styleId="37">
    <w:name w:val="00标题4"/>
    <w:basedOn w:val="5"/>
    <w:next w:val="1"/>
    <w:qFormat/>
    <w:uiPriority w:val="0"/>
    <w:pPr>
      <w:numPr>
        <w:numId w:val="3"/>
      </w:numPr>
      <w:spacing w:before="160" w:after="170" w:line="240" w:lineRule="auto"/>
      <w:ind w:firstLineChars="0"/>
    </w:pPr>
    <w:rPr>
      <w:rFonts w:eastAsia="宋体"/>
    </w:rPr>
  </w:style>
  <w:style w:type="paragraph" w:customStyle="1" w:styleId="38">
    <w:name w:val="00标题1"/>
    <w:basedOn w:val="2"/>
    <w:next w:val="1"/>
    <w:qFormat/>
    <w:uiPriority w:val="0"/>
    <w:pPr>
      <w:pageBreakBefore/>
      <w:numPr>
        <w:ilvl w:val="0"/>
        <w:numId w:val="3"/>
      </w:numPr>
      <w:spacing w:before="120" w:after="120" w:line="240" w:lineRule="auto"/>
      <w:ind w:firstLineChars="0"/>
      <w:jc w:val="center"/>
    </w:pPr>
    <w:rPr>
      <w:rFonts w:cs="Times New Roman" w:asciiTheme="majorEastAsia" w:hAnsiTheme="majorEastAsia" w:eastAsiaTheme="majorEastAsia"/>
      <w:sz w:val="36"/>
    </w:rPr>
  </w:style>
  <w:style w:type="paragraph" w:customStyle="1" w:styleId="39">
    <w:name w:val="00标题2"/>
    <w:basedOn w:val="3"/>
    <w:next w:val="1"/>
    <w:qFormat/>
    <w:uiPriority w:val="0"/>
    <w:pPr>
      <w:numPr>
        <w:numId w:val="3"/>
      </w:numPr>
      <w:spacing w:before="50" w:beforeLines="50" w:after="50" w:afterLines="50" w:line="360" w:lineRule="auto"/>
      <w:ind w:firstLineChars="0"/>
    </w:pPr>
    <w:rPr>
      <w:rFonts w:asciiTheme="majorAscii" w:hAnsiTheme="majorAscii"/>
    </w:rPr>
  </w:style>
  <w:style w:type="paragraph" w:customStyle="1" w:styleId="40">
    <w:name w:val="00标题3"/>
    <w:basedOn w:val="4"/>
    <w:next w:val="1"/>
    <w:link w:val="83"/>
    <w:qFormat/>
    <w:uiPriority w:val="0"/>
    <w:pPr>
      <w:numPr>
        <w:numId w:val="3"/>
      </w:numPr>
      <w:spacing w:before="20" w:after="20" w:line="240" w:lineRule="auto"/>
      <w:ind w:firstLineChars="0"/>
    </w:pPr>
    <w:rPr>
      <w:sz w:val="30"/>
    </w:rPr>
  </w:style>
  <w:style w:type="paragraph" w:customStyle="1" w:styleId="41">
    <w:name w:val="表标题"/>
    <w:basedOn w:val="1"/>
    <w:next w:val="42"/>
    <w:qFormat/>
    <w:uiPriority w:val="0"/>
    <w:pPr>
      <w:numPr>
        <w:ilvl w:val="7"/>
        <w:numId w:val="3"/>
      </w:numPr>
      <w:ind w:firstLineChars="0"/>
      <w:jc w:val="center"/>
    </w:pPr>
  </w:style>
  <w:style w:type="paragraph" w:customStyle="1" w:styleId="42">
    <w:name w:val="表正文"/>
    <w:basedOn w:val="43"/>
    <w:next w:val="1"/>
    <w:qFormat/>
    <w:uiPriority w:val="0"/>
    <w:rPr>
      <w:sz w:val="24"/>
    </w:rPr>
  </w:style>
  <w:style w:type="paragraph" w:customStyle="1" w:styleId="43">
    <w:name w:val="正文-居中"/>
    <w:basedOn w:val="12"/>
    <w:link w:val="55"/>
    <w:qFormat/>
    <w:uiPriority w:val="0"/>
    <w:pPr>
      <w:adjustRightInd w:val="0"/>
      <w:spacing w:line="240" w:lineRule="auto"/>
      <w:ind w:firstLine="0" w:firstLineChars="0"/>
      <w:jc w:val="center"/>
      <w:textAlignment w:val="baseline"/>
    </w:pPr>
    <w:rPr>
      <w:rFonts w:ascii="Times New Roman" w:hAnsi="Times New Roman" w:cs="Times New Roman"/>
      <w:kern w:val="0"/>
      <w:szCs w:val="20"/>
    </w:rPr>
  </w:style>
  <w:style w:type="paragraph" w:customStyle="1" w:styleId="44">
    <w:name w:val="图标题"/>
    <w:basedOn w:val="41"/>
    <w:next w:val="1"/>
    <w:link w:val="68"/>
    <w:qFormat/>
    <w:uiPriority w:val="0"/>
    <w:pPr>
      <w:numPr>
        <w:ilvl w:val="8"/>
      </w:numPr>
    </w:pPr>
    <w:rPr>
      <w:rFonts w:eastAsia="宋体" w:cs="宋体"/>
      <w:sz w:val="24"/>
      <w:szCs w:val="28"/>
    </w:rPr>
  </w:style>
  <w:style w:type="character" w:customStyle="1" w:styleId="45">
    <w:name w:val="标题 1 Char"/>
    <w:basedOn w:val="33"/>
    <w:link w:val="2"/>
    <w:qFormat/>
    <w:uiPriority w:val="9"/>
    <w:rPr>
      <w:b/>
      <w:bCs/>
      <w:kern w:val="44"/>
      <w:sz w:val="44"/>
      <w:szCs w:val="44"/>
    </w:rPr>
  </w:style>
  <w:style w:type="character" w:customStyle="1" w:styleId="46">
    <w:name w:val="标题 2 Char"/>
    <w:basedOn w:val="33"/>
    <w:link w:val="3"/>
    <w:qFormat/>
    <w:uiPriority w:val="9"/>
    <w:rPr>
      <w:rFonts w:asciiTheme="majorHAnsi" w:hAnsiTheme="majorHAnsi" w:eastAsiaTheme="majorEastAsia" w:cstheme="majorBidi"/>
      <w:b/>
      <w:bCs/>
      <w:sz w:val="32"/>
      <w:szCs w:val="32"/>
    </w:rPr>
  </w:style>
  <w:style w:type="character" w:customStyle="1" w:styleId="47">
    <w:name w:val="标题 3 Char"/>
    <w:basedOn w:val="33"/>
    <w:link w:val="4"/>
    <w:semiHidden/>
    <w:qFormat/>
    <w:uiPriority w:val="9"/>
    <w:rPr>
      <w:b/>
      <w:bCs/>
      <w:sz w:val="32"/>
      <w:szCs w:val="32"/>
    </w:rPr>
  </w:style>
  <w:style w:type="character" w:customStyle="1" w:styleId="48">
    <w:name w:val="标题 4 Char"/>
    <w:basedOn w:val="33"/>
    <w:link w:val="5"/>
    <w:semiHidden/>
    <w:qFormat/>
    <w:uiPriority w:val="9"/>
    <w:rPr>
      <w:rFonts w:asciiTheme="majorHAnsi" w:hAnsiTheme="majorHAnsi" w:eastAsiaTheme="majorEastAsia" w:cstheme="majorBidi"/>
      <w:b/>
      <w:bCs/>
      <w:sz w:val="28"/>
      <w:szCs w:val="28"/>
    </w:rPr>
  </w:style>
  <w:style w:type="paragraph" w:styleId="49">
    <w:name w:val="List Paragraph"/>
    <w:basedOn w:val="1"/>
    <w:qFormat/>
    <w:uiPriority w:val="34"/>
    <w:pPr>
      <w:ind w:firstLine="420"/>
    </w:pPr>
  </w:style>
  <w:style w:type="character" w:customStyle="1" w:styleId="50">
    <w:name w:val="批注框文本 Char"/>
    <w:basedOn w:val="33"/>
    <w:link w:val="20"/>
    <w:semiHidden/>
    <w:qFormat/>
    <w:uiPriority w:val="99"/>
    <w:rPr>
      <w:sz w:val="18"/>
      <w:szCs w:val="18"/>
    </w:rPr>
  </w:style>
  <w:style w:type="paragraph" w:customStyle="1" w:styleId="51">
    <w:name w:val="正文表格"/>
    <w:basedOn w:val="1"/>
    <w:qFormat/>
    <w:uiPriority w:val="0"/>
    <w:pPr>
      <w:spacing w:line="240" w:lineRule="auto"/>
      <w:ind w:firstLine="0" w:firstLineChars="0"/>
    </w:pPr>
    <w:rPr>
      <w:sz w:val="24"/>
    </w:rPr>
  </w:style>
  <w:style w:type="paragraph" w:customStyle="1" w:styleId="52">
    <w:name w:val="列出段落1"/>
    <w:basedOn w:val="1"/>
    <w:qFormat/>
    <w:uiPriority w:val="34"/>
    <w:pPr>
      <w:spacing w:line="240" w:lineRule="auto"/>
      <w:ind w:firstLine="420"/>
    </w:pPr>
    <w:rPr>
      <w:sz w:val="21"/>
    </w:rPr>
  </w:style>
  <w:style w:type="paragraph" w:customStyle="1" w:styleId="53">
    <w:name w:val="可研正文"/>
    <w:basedOn w:val="1"/>
    <w:link w:val="54"/>
    <w:qFormat/>
    <w:uiPriority w:val="0"/>
    <w:pPr>
      <w:adjustRightInd w:val="0"/>
      <w:snapToGrid w:val="0"/>
    </w:pPr>
    <w:rPr>
      <w:rFonts w:ascii="Times New Roman" w:hAnsi="Times New Roman" w:cs="宋体"/>
      <w:sz w:val="24"/>
      <w:szCs w:val="20"/>
    </w:rPr>
  </w:style>
  <w:style w:type="character" w:customStyle="1" w:styleId="54">
    <w:name w:val="可研正文 Char"/>
    <w:link w:val="53"/>
    <w:qFormat/>
    <w:uiPriority w:val="0"/>
    <w:rPr>
      <w:rFonts w:ascii="Times New Roman" w:hAnsi="Times New Roman" w:eastAsia="宋体" w:cs="宋体"/>
      <w:sz w:val="24"/>
      <w:szCs w:val="20"/>
    </w:rPr>
  </w:style>
  <w:style w:type="character" w:customStyle="1" w:styleId="55">
    <w:name w:val="正文-居中 Char"/>
    <w:link w:val="43"/>
    <w:qFormat/>
    <w:uiPriority w:val="0"/>
    <w:rPr>
      <w:rFonts w:ascii="Times New Roman" w:hAnsi="Times New Roman" w:eastAsia="宋体" w:cs="Times New Roman"/>
      <w:kern w:val="0"/>
      <w:sz w:val="28"/>
      <w:szCs w:val="20"/>
    </w:rPr>
  </w:style>
  <w:style w:type="paragraph" w:customStyle="1" w:styleId="56">
    <w:name w:val="正文 -缩进"/>
    <w:basedOn w:val="12"/>
    <w:link w:val="57"/>
    <w:qFormat/>
    <w:uiPriority w:val="0"/>
    <w:pPr>
      <w:adjustRightInd w:val="0"/>
      <w:ind w:firstLine="560" w:firstLineChars="0"/>
      <w:textAlignment w:val="baseline"/>
    </w:pPr>
    <w:rPr>
      <w:rFonts w:ascii="Times New Roman" w:hAnsi="Times New Roman" w:cs="Times New Roman"/>
      <w:kern w:val="0"/>
      <w:sz w:val="28"/>
      <w:szCs w:val="20"/>
    </w:rPr>
  </w:style>
  <w:style w:type="character" w:customStyle="1" w:styleId="57">
    <w:name w:val="正文 -缩进 Char1"/>
    <w:link w:val="56"/>
    <w:qFormat/>
    <w:uiPriority w:val="0"/>
    <w:rPr>
      <w:rFonts w:ascii="Times New Roman" w:hAnsi="Times New Roman" w:eastAsia="宋体" w:cs="Times New Roman"/>
      <w:kern w:val="0"/>
      <w:sz w:val="28"/>
      <w:szCs w:val="20"/>
    </w:rPr>
  </w:style>
  <w:style w:type="paragraph" w:customStyle="1" w:styleId="58">
    <w:name w:val="正文段落"/>
    <w:basedOn w:val="1"/>
    <w:qFormat/>
    <w:uiPriority w:val="0"/>
    <w:pPr>
      <w:ind w:firstLine="480"/>
    </w:pPr>
    <w:rPr>
      <w:rFonts w:ascii="Times New Roman" w:hAnsi="Times New Roman" w:cs="宋体"/>
      <w:sz w:val="24"/>
      <w:szCs w:val="20"/>
    </w:rPr>
  </w:style>
  <w:style w:type="paragraph" w:customStyle="1" w:styleId="59">
    <w:name w:val="TOC 标题1"/>
    <w:basedOn w:val="2"/>
    <w:next w:val="1"/>
    <w:unhideWhenUsed/>
    <w:qFormat/>
    <w:uiPriority w:val="39"/>
    <w:pPr>
      <w:widowControl/>
      <w:spacing w:before="480" w:after="0" w:line="276" w:lineRule="auto"/>
      <w:ind w:firstLine="0" w:firstLineChars="0"/>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60">
    <w:name w:val="页眉 Char"/>
    <w:basedOn w:val="33"/>
    <w:link w:val="23"/>
    <w:qFormat/>
    <w:uiPriority w:val="99"/>
    <w:rPr>
      <w:rFonts w:eastAsia="宋体"/>
      <w:sz w:val="18"/>
      <w:szCs w:val="18"/>
    </w:rPr>
  </w:style>
  <w:style w:type="character" w:customStyle="1" w:styleId="61">
    <w:name w:val="页脚 Char"/>
    <w:basedOn w:val="33"/>
    <w:link w:val="21"/>
    <w:qFormat/>
    <w:uiPriority w:val="99"/>
    <w:rPr>
      <w:rFonts w:eastAsia="宋体"/>
      <w:sz w:val="18"/>
      <w:szCs w:val="18"/>
    </w:rPr>
  </w:style>
  <w:style w:type="character" w:customStyle="1" w:styleId="62">
    <w:name w:val="标题 5 Char"/>
    <w:basedOn w:val="33"/>
    <w:link w:val="6"/>
    <w:semiHidden/>
    <w:qFormat/>
    <w:uiPriority w:val="9"/>
    <w:rPr>
      <w:b/>
      <w:bCs/>
      <w:sz w:val="28"/>
      <w:szCs w:val="28"/>
    </w:rPr>
  </w:style>
  <w:style w:type="character" w:customStyle="1" w:styleId="63">
    <w:name w:val="标题 6 Char"/>
    <w:basedOn w:val="33"/>
    <w:link w:val="7"/>
    <w:semiHidden/>
    <w:qFormat/>
    <w:uiPriority w:val="9"/>
    <w:rPr>
      <w:rFonts w:asciiTheme="majorHAnsi" w:hAnsiTheme="majorHAnsi" w:eastAsiaTheme="majorEastAsia" w:cstheme="majorBidi"/>
      <w:b/>
      <w:bCs/>
      <w:sz w:val="24"/>
      <w:szCs w:val="24"/>
    </w:rPr>
  </w:style>
  <w:style w:type="character" w:customStyle="1" w:styleId="64">
    <w:name w:val="标题 7 Char"/>
    <w:basedOn w:val="33"/>
    <w:link w:val="8"/>
    <w:semiHidden/>
    <w:qFormat/>
    <w:uiPriority w:val="9"/>
    <w:rPr>
      <w:b/>
      <w:bCs/>
      <w:sz w:val="24"/>
      <w:szCs w:val="24"/>
    </w:rPr>
  </w:style>
  <w:style w:type="character" w:customStyle="1" w:styleId="65">
    <w:name w:val="标题 8 Char"/>
    <w:basedOn w:val="33"/>
    <w:link w:val="9"/>
    <w:semiHidden/>
    <w:qFormat/>
    <w:uiPriority w:val="9"/>
    <w:rPr>
      <w:rFonts w:asciiTheme="majorHAnsi" w:hAnsiTheme="majorHAnsi" w:eastAsiaTheme="majorEastAsia" w:cstheme="majorBidi"/>
      <w:sz w:val="24"/>
      <w:szCs w:val="24"/>
    </w:rPr>
  </w:style>
  <w:style w:type="character" w:customStyle="1" w:styleId="66">
    <w:name w:val="标题 9 Char"/>
    <w:basedOn w:val="33"/>
    <w:link w:val="10"/>
    <w:semiHidden/>
    <w:qFormat/>
    <w:uiPriority w:val="9"/>
    <w:rPr>
      <w:rFonts w:asciiTheme="majorHAnsi" w:hAnsiTheme="majorHAnsi" w:eastAsiaTheme="majorEastAsia" w:cstheme="majorBidi"/>
      <w:szCs w:val="21"/>
    </w:rPr>
  </w:style>
  <w:style w:type="paragraph" w:customStyle="1" w:styleId="67">
    <w:name w:val="Table Paragraph"/>
    <w:basedOn w:val="1"/>
    <w:qFormat/>
    <w:uiPriority w:val="1"/>
    <w:pPr>
      <w:jc w:val="center"/>
    </w:pPr>
    <w:rPr>
      <w:rFonts w:ascii="微软雅黑" w:hAnsi="微软雅黑" w:eastAsia="微软雅黑" w:cs="微软雅黑"/>
    </w:rPr>
  </w:style>
  <w:style w:type="character" w:customStyle="1" w:styleId="68">
    <w:name w:val="图标题 Char"/>
    <w:link w:val="44"/>
    <w:qFormat/>
    <w:uiPriority w:val="0"/>
    <w:rPr>
      <w:rFonts w:eastAsia="宋体" w:cs="宋体" w:asciiTheme="minorAscii" w:hAnsiTheme="minorAscii"/>
      <w:sz w:val="24"/>
      <w:szCs w:val="28"/>
    </w:rPr>
  </w:style>
  <w:style w:type="character" w:customStyle="1" w:styleId="69">
    <w:name w:val="fontstyle01"/>
    <w:basedOn w:val="33"/>
    <w:qFormat/>
    <w:uiPriority w:val="0"/>
    <w:rPr>
      <w:rFonts w:ascii="仿宋" w:hAnsi="仿宋" w:eastAsia="仿宋" w:cs="仿宋"/>
      <w:color w:val="000000"/>
      <w:sz w:val="24"/>
      <w:szCs w:val="24"/>
    </w:rPr>
  </w:style>
  <w:style w:type="character" w:customStyle="1" w:styleId="70">
    <w:name w:val="fontstyle11"/>
    <w:basedOn w:val="33"/>
    <w:qFormat/>
    <w:uiPriority w:val="0"/>
    <w:rPr>
      <w:rFonts w:hint="default" w:ascii="Times New Roman" w:hAnsi="Times New Roman" w:cs="Times New Roman"/>
      <w:color w:val="000000"/>
      <w:sz w:val="24"/>
      <w:szCs w:val="24"/>
    </w:rPr>
  </w:style>
  <w:style w:type="character" w:customStyle="1" w:styleId="71">
    <w:name w:val="font41"/>
    <w:basedOn w:val="33"/>
    <w:qFormat/>
    <w:uiPriority w:val="0"/>
    <w:rPr>
      <w:rFonts w:hint="eastAsia" w:ascii="宋体" w:hAnsi="宋体" w:eastAsia="宋体" w:cs="宋体"/>
      <w:color w:val="000000"/>
      <w:sz w:val="22"/>
      <w:szCs w:val="22"/>
      <w:u w:val="none"/>
    </w:rPr>
  </w:style>
  <w:style w:type="character" w:customStyle="1" w:styleId="72">
    <w:name w:val="font51"/>
    <w:basedOn w:val="33"/>
    <w:qFormat/>
    <w:uiPriority w:val="0"/>
    <w:rPr>
      <w:rFonts w:hint="default" w:ascii="Times New Roman" w:hAnsi="Times New Roman" w:cs="Times New Roman"/>
      <w:color w:val="000000"/>
      <w:sz w:val="22"/>
      <w:szCs w:val="22"/>
      <w:u w:val="none"/>
    </w:rPr>
  </w:style>
  <w:style w:type="paragraph" w:customStyle="1" w:styleId="73">
    <w:name w:val="正文加粗"/>
    <w:basedOn w:val="1"/>
    <w:qFormat/>
    <w:uiPriority w:val="0"/>
    <w:pPr>
      <w:spacing w:before="240" w:after="240" w:line="240" w:lineRule="auto"/>
      <w:ind w:firstLine="0" w:firstLineChars="0"/>
    </w:pPr>
    <w:rPr>
      <w:b/>
    </w:rPr>
  </w:style>
  <w:style w:type="character" w:customStyle="1" w:styleId="74">
    <w:name w:val="font31"/>
    <w:basedOn w:val="33"/>
    <w:qFormat/>
    <w:uiPriority w:val="0"/>
    <w:rPr>
      <w:rFonts w:hint="default" w:ascii="Times New Roman" w:hAnsi="Times New Roman" w:cs="Times New Roman"/>
      <w:color w:val="000000"/>
      <w:sz w:val="21"/>
      <w:szCs w:val="21"/>
      <w:u w:val="none"/>
    </w:rPr>
  </w:style>
  <w:style w:type="character" w:customStyle="1" w:styleId="75">
    <w:name w:val="font21"/>
    <w:basedOn w:val="33"/>
    <w:qFormat/>
    <w:uiPriority w:val="0"/>
    <w:rPr>
      <w:rFonts w:hint="eastAsia" w:ascii="宋体" w:hAnsi="宋体" w:eastAsia="宋体" w:cs="宋体"/>
      <w:color w:val="000000"/>
      <w:sz w:val="21"/>
      <w:szCs w:val="21"/>
      <w:u w:val="none"/>
    </w:rPr>
  </w:style>
  <w:style w:type="character" w:customStyle="1" w:styleId="76">
    <w:name w:val="font11"/>
    <w:basedOn w:val="33"/>
    <w:qFormat/>
    <w:uiPriority w:val="0"/>
    <w:rPr>
      <w:rFonts w:hint="eastAsia" w:ascii="宋体" w:hAnsi="宋体" w:eastAsia="宋体" w:cs="宋体"/>
      <w:color w:val="000000"/>
      <w:sz w:val="24"/>
      <w:szCs w:val="24"/>
      <w:u w:val="none"/>
      <w:vertAlign w:val="superscript"/>
    </w:rPr>
  </w:style>
  <w:style w:type="character" w:customStyle="1" w:styleId="77">
    <w:name w:val="font61"/>
    <w:basedOn w:val="33"/>
    <w:qFormat/>
    <w:uiPriority w:val="0"/>
    <w:rPr>
      <w:rFonts w:hint="eastAsia" w:ascii="宋体" w:hAnsi="宋体" w:eastAsia="宋体" w:cs="宋体"/>
      <w:color w:val="000000"/>
      <w:sz w:val="24"/>
      <w:szCs w:val="24"/>
      <w:u w:val="none"/>
    </w:rPr>
  </w:style>
  <w:style w:type="character" w:customStyle="1" w:styleId="78">
    <w:name w:val="font01"/>
    <w:basedOn w:val="33"/>
    <w:qFormat/>
    <w:uiPriority w:val="0"/>
    <w:rPr>
      <w:rFonts w:hint="eastAsia" w:ascii="宋体" w:hAnsi="宋体" w:eastAsia="宋体" w:cs="宋体"/>
      <w:color w:val="000000"/>
      <w:sz w:val="24"/>
      <w:szCs w:val="24"/>
      <w:u w:val="none"/>
      <w:vertAlign w:val="superscript"/>
    </w:rPr>
  </w:style>
  <w:style w:type="character" w:customStyle="1" w:styleId="79">
    <w:name w:val="font81"/>
    <w:basedOn w:val="33"/>
    <w:qFormat/>
    <w:uiPriority w:val="0"/>
    <w:rPr>
      <w:rFonts w:hint="eastAsia" w:ascii="宋体" w:hAnsi="宋体" w:eastAsia="宋体" w:cs="宋体"/>
      <w:b/>
      <w:color w:val="000000"/>
      <w:sz w:val="22"/>
      <w:szCs w:val="22"/>
      <w:u w:val="none"/>
    </w:rPr>
  </w:style>
  <w:style w:type="character" w:customStyle="1" w:styleId="80">
    <w:name w:val="font71"/>
    <w:basedOn w:val="33"/>
    <w:qFormat/>
    <w:uiPriority w:val="0"/>
    <w:rPr>
      <w:rFonts w:hint="eastAsia" w:ascii="宋体" w:hAnsi="宋体" w:eastAsia="宋体"/>
      <w:b/>
      <w:bCs/>
      <w:color w:val="000000"/>
      <w:sz w:val="22"/>
      <w:szCs w:val="22"/>
      <w:u w:val="none"/>
    </w:rPr>
  </w:style>
  <w:style w:type="character" w:customStyle="1" w:styleId="81">
    <w:name w:val="font161"/>
    <w:basedOn w:val="33"/>
    <w:qFormat/>
    <w:uiPriority w:val="0"/>
    <w:rPr>
      <w:rFonts w:hint="eastAsia" w:ascii="宋体" w:hAnsi="宋体" w:eastAsia="宋体"/>
      <w:color w:val="000000"/>
      <w:sz w:val="24"/>
      <w:szCs w:val="24"/>
      <w:u w:val="none"/>
    </w:rPr>
  </w:style>
  <w:style w:type="character" w:customStyle="1" w:styleId="82">
    <w:name w:val="font91"/>
    <w:basedOn w:val="33"/>
    <w:qFormat/>
    <w:uiPriority w:val="0"/>
    <w:rPr>
      <w:rFonts w:hint="eastAsia" w:ascii="宋体" w:hAnsi="宋体" w:eastAsia="宋体"/>
      <w:b/>
      <w:bCs/>
      <w:color w:val="000000"/>
      <w:sz w:val="22"/>
      <w:szCs w:val="22"/>
      <w:u w:val="none"/>
    </w:rPr>
  </w:style>
  <w:style w:type="character" w:customStyle="1" w:styleId="83">
    <w:name w:val="00标题3 Char"/>
    <w:link w:val="40"/>
    <w:qFormat/>
    <w:uiPriority w:val="0"/>
    <w:rPr>
      <w:sz w:val="30"/>
    </w:rPr>
  </w:style>
  <w:style w:type="paragraph" w:customStyle="1" w:styleId="84">
    <w:name w:val="WPSOffice手动目录 1"/>
    <w:qFormat/>
    <w:uiPriority w:val="0"/>
    <w:rPr>
      <w:rFonts w:ascii="Times New Roman" w:hAnsi="Times New Roman" w:eastAsia="宋体" w:cs="Times New Roman"/>
      <w:lang w:val="en-US" w:eastAsia="zh-CN" w:bidi="ar-SA"/>
    </w:rPr>
  </w:style>
  <w:style w:type="paragraph" w:customStyle="1" w:styleId="85">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86">
    <w:name w:val="正文文本 2 Char"/>
    <w:basedOn w:val="33"/>
    <w:link w:val="28"/>
    <w:semiHidden/>
    <w:qFormat/>
    <w:uiPriority w:val="99"/>
    <w:rPr>
      <w:rFonts w:cstheme="minorBidi"/>
      <w:kern w:val="2"/>
      <w:sz w:val="24"/>
      <w:szCs w:val="21"/>
    </w:rPr>
  </w:style>
  <w:style w:type="paragraph" w:customStyle="1" w:styleId="87">
    <w:name w:val="报告标1"/>
    <w:basedOn w:val="2"/>
    <w:next w:val="1"/>
    <w:qFormat/>
    <w:uiPriority w:val="0"/>
    <w:pPr>
      <w:keepNext/>
      <w:keepLines/>
      <w:numPr>
        <w:ilvl w:val="0"/>
        <w:numId w:val="4"/>
      </w:numPr>
      <w:tabs>
        <w:tab w:val="center" w:pos="0"/>
      </w:tabs>
      <w:adjustRightInd w:val="0"/>
      <w:snapToGrid w:val="0"/>
      <w:spacing w:before="340" w:beforeLines="100" w:after="330" w:afterLines="100" w:line="240" w:lineRule="auto"/>
      <w:jc w:val="center"/>
    </w:pPr>
    <w:rPr>
      <w:rFonts w:ascii="Times New Roman" w:hAnsi="Times New Roman"/>
      <w:color w:val="auto"/>
      <w:kern w:val="44"/>
      <w:sz w:val="36"/>
      <w:szCs w:val="44"/>
      <w:lang w:val="en-US" w:eastAsia="zh-CN"/>
    </w:rPr>
  </w:style>
  <w:style w:type="paragraph" w:customStyle="1" w:styleId="88">
    <w:name w:val="报告标2"/>
    <w:basedOn w:val="3"/>
    <w:next w:val="1"/>
    <w:qFormat/>
    <w:uiPriority w:val="0"/>
    <w:pPr>
      <w:numPr>
        <w:ilvl w:val="1"/>
        <w:numId w:val="4"/>
      </w:numPr>
      <w:tabs>
        <w:tab w:val="left" w:pos="709"/>
      </w:tabs>
      <w:adjustRightInd w:val="0"/>
      <w:snapToGrid w:val="0"/>
      <w:spacing w:before="48" w:after="48"/>
    </w:pPr>
    <w:rPr>
      <w:rFonts w:ascii="Times New Roman" w:hAnsi="Times New Roman" w:eastAsia="宋体"/>
      <w:kern w:val="2"/>
      <w:sz w:val="32"/>
      <w:szCs w:val="32"/>
      <w:lang w:val="en-US" w:eastAsia="zh-CN"/>
    </w:rPr>
  </w:style>
  <w:style w:type="paragraph" w:customStyle="1" w:styleId="89">
    <w:name w:val="报告标3"/>
    <w:basedOn w:val="4"/>
    <w:next w:val="1"/>
    <w:qFormat/>
    <w:uiPriority w:val="0"/>
    <w:pPr>
      <w:numPr>
        <w:ilvl w:val="2"/>
        <w:numId w:val="4"/>
      </w:numPr>
      <w:tabs>
        <w:tab w:val="left" w:pos="851"/>
        <w:tab w:val="left" w:pos="1004"/>
      </w:tabs>
      <w:adjustRightInd w:val="0"/>
      <w:snapToGrid w:val="0"/>
      <w:spacing w:before="260" w:beforeLines="50"/>
    </w:pPr>
    <w:rPr>
      <w:rFonts w:ascii="Times New Roman" w:hAnsi="Times New Roman" w:eastAsia="宋体"/>
      <w:lang w:val="en-US" w:eastAsia="zh-CN"/>
    </w:rPr>
  </w:style>
  <w:style w:type="paragraph" w:customStyle="1" w:styleId="90">
    <w:name w:val="报告标4"/>
    <w:basedOn w:val="5"/>
    <w:next w:val="1"/>
    <w:qFormat/>
    <w:uiPriority w:val="0"/>
    <w:pPr>
      <w:numPr>
        <w:ilvl w:val="3"/>
        <w:numId w:val="4"/>
      </w:numPr>
      <w:tabs>
        <w:tab w:val="left" w:pos="993"/>
      </w:tabs>
      <w:adjustRightInd w:val="0"/>
      <w:snapToGrid w:val="0"/>
      <w:ind w:left="0" w:firstLine="0"/>
    </w:pPr>
    <w:rPr>
      <w:rFonts w:ascii="Times New Roman" w:hAnsi="Times New Roman" w:eastAsia="宋体"/>
      <w:kern w:val="2"/>
      <w:szCs w:val="28"/>
      <w:lang w:val="en-US" w:eastAsia="zh-CN"/>
    </w:rPr>
  </w:style>
  <w:style w:type="paragraph" w:customStyle="1" w:styleId="91">
    <w:name w:val="样式1"/>
    <w:basedOn w:val="1"/>
    <w:link w:val="92"/>
    <w:qFormat/>
    <w:uiPriority w:val="0"/>
    <w:pPr>
      <w:numPr>
        <w:ilvl w:val="8"/>
        <w:numId w:val="3"/>
      </w:numPr>
      <w:ind w:firstLine="0" w:firstLineChars="0"/>
      <w:jc w:val="center"/>
    </w:pPr>
    <w:rPr>
      <w:rFonts w:eastAsia="宋体"/>
      <w:sz w:val="28"/>
    </w:rPr>
  </w:style>
  <w:style w:type="character" w:customStyle="1" w:styleId="92">
    <w:name w:val="样式1 Char"/>
    <w:link w:val="91"/>
    <w:qFormat/>
    <w:uiPriority w:val="0"/>
    <w:rPr>
      <w:rFonts w:hint="default" w:eastAsia="宋体"/>
      <w:sz w:val="28"/>
    </w:rPr>
  </w:style>
  <w:style w:type="paragraph" w:customStyle="1" w:styleId="93">
    <w:name w:val="正文-数字标题"/>
    <w:basedOn w:val="1"/>
    <w:next w:val="1"/>
    <w:link w:val="94"/>
    <w:qFormat/>
    <w:uiPriority w:val="0"/>
    <w:pPr>
      <w:spacing w:line="240" w:lineRule="auto"/>
      <w:ind w:left="0" w:firstLine="564" w:firstLineChars="200"/>
    </w:pPr>
    <w:rPr>
      <w:rFonts w:eastAsia="宋体" w:cs="宋体" w:asciiTheme="minorAscii" w:hAnsiTheme="minorAscii"/>
      <w:color w:val="auto"/>
      <w:kern w:val="0"/>
      <w:szCs w:val="21"/>
    </w:rPr>
  </w:style>
  <w:style w:type="character" w:customStyle="1" w:styleId="94">
    <w:name w:val="正文-数字标题 Char"/>
    <w:link w:val="93"/>
    <w:qFormat/>
    <w:uiPriority w:val="0"/>
    <w:rPr>
      <w:rFonts w:hint="default" w:eastAsia="宋体" w:cs="宋体" w:asciiTheme="minorAscii" w:hAnsiTheme="minorAscii"/>
      <w:color w:val="auto"/>
      <w:kern w:val="0"/>
      <w:szCs w:val="21"/>
    </w:rPr>
  </w:style>
  <w:style w:type="character" w:customStyle="1" w:styleId="95">
    <w:name w:val="正文缩进 Char"/>
    <w:link w:val="12"/>
    <w:qFormat/>
    <w:uiPriority w:val="99"/>
    <w:rPr>
      <w:rFonts w:eastAsia="宋体"/>
    </w:rPr>
  </w:style>
  <w:style w:type="character" w:customStyle="1" w:styleId="96">
    <w:name w:val="正文文本 Char"/>
    <w:link w:val="15"/>
    <w:qFormat/>
    <w:uiPriority w:val="1"/>
    <w:rPr>
      <w:rFonts w:cs="Times New Roman"/>
      <w:szCs w:val="24"/>
    </w:rPr>
  </w:style>
  <w:style w:type="paragraph" w:customStyle="1" w:styleId="97">
    <w:name w:val="标书正文"/>
    <w:basedOn w:val="12"/>
    <w:qFormat/>
    <w:uiPriority w:val="99"/>
    <w:pPr>
      <w:ind w:firstLine="560"/>
    </w:pPr>
  </w:style>
  <w:style w:type="paragraph" w:customStyle="1" w:styleId="98">
    <w:name w:val="Default"/>
    <w:unhideWhenUsed/>
    <w:qFormat/>
    <w:uiPriority w:val="99"/>
    <w:pPr>
      <w:widowControl w:val="0"/>
      <w:autoSpaceDE w:val="0"/>
      <w:autoSpaceDN w:val="0"/>
      <w:adjustRightInd w:val="0"/>
      <w:spacing w:beforeLines="0" w:afterLines="0"/>
    </w:pPr>
    <w:rPr>
      <w:rFonts w:hint="eastAsia" w:ascii="仿宋A...嬀." w:hAnsi="仿宋A...嬀." w:eastAsia="仿宋A...嬀." w:cs="Times New Roman"/>
      <w:color w:val="000000"/>
      <w:sz w:val="24"/>
      <w:szCs w:val="24"/>
    </w:rPr>
  </w:style>
  <w:style w:type="paragraph" w:customStyle="1" w:styleId="99">
    <w:name w:val="_正文 + 缩进"/>
    <w:basedOn w:val="1"/>
    <w:qFormat/>
    <w:uiPriority w:val="0"/>
    <w:pPr>
      <w:spacing w:beforeLines="25" w:afterLines="50" w:line="300" w:lineRule="auto"/>
      <w:ind w:firstLine="420"/>
    </w:pPr>
    <w:rPr>
      <w:rFonts w:cs="宋体"/>
      <w:szCs w:val="20"/>
    </w:rPr>
  </w:style>
  <w:style w:type="paragraph" w:customStyle="1" w:styleId="100">
    <w:name w:val="报告表头"/>
    <w:basedOn w:val="1"/>
    <w:next w:val="1"/>
    <w:qFormat/>
    <w:uiPriority w:val="0"/>
    <w:pPr>
      <w:numPr>
        <w:ilvl w:val="5"/>
        <w:numId w:val="5"/>
      </w:numPr>
      <w:tabs>
        <w:tab w:val="left" w:pos="0"/>
        <w:tab w:val="left" w:pos="5672"/>
      </w:tabs>
      <w:adjustRightInd w:val="0"/>
      <w:snapToGrid w:val="0"/>
      <w:spacing w:beforeLines="50"/>
      <w:ind w:left="0" w:firstLine="1134" w:firstLineChars="0"/>
      <w:jc w:val="center"/>
      <w:outlineLvl w:val="4"/>
    </w:pPr>
    <w:rPr>
      <w:b/>
      <w:color w:val="000000"/>
      <w:sz w:val="21"/>
      <w:szCs w:val="22"/>
    </w:rPr>
  </w:style>
  <w:style w:type="paragraph" w:customStyle="1" w:styleId="101">
    <w:name w:val="_Style 3"/>
    <w:qFormat/>
    <w:uiPriority w:val="1"/>
    <w:pPr>
      <w:widowControl w:val="0"/>
      <w:spacing w:line="360" w:lineRule="auto"/>
      <w:ind w:firstLine="1200" w:firstLineChars="200"/>
      <w:jc w:val="both"/>
    </w:pPr>
    <w:rPr>
      <w:rFonts w:ascii="Calibri" w:hAnsi="Calibri" w:eastAsia="宋体" w:cs="Times New Roman"/>
      <w:kern w:val="2"/>
      <w:sz w:val="28"/>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88.png"/><Relationship Id="rId98" Type="http://schemas.openxmlformats.org/officeDocument/2006/relationships/image" Target="media/image87.png"/><Relationship Id="rId97" Type="http://schemas.openxmlformats.org/officeDocument/2006/relationships/image" Target="media/image86.png"/><Relationship Id="rId96" Type="http://schemas.openxmlformats.org/officeDocument/2006/relationships/image" Target="media/image85.png"/><Relationship Id="rId95" Type="http://schemas.openxmlformats.org/officeDocument/2006/relationships/image" Target="media/image84.png"/><Relationship Id="rId94" Type="http://schemas.openxmlformats.org/officeDocument/2006/relationships/image" Target="media/image83.png"/><Relationship Id="rId93" Type="http://schemas.openxmlformats.org/officeDocument/2006/relationships/image" Target="media/image82.png"/><Relationship Id="rId92" Type="http://schemas.openxmlformats.org/officeDocument/2006/relationships/image" Target="media/image81.png"/><Relationship Id="rId91" Type="http://schemas.openxmlformats.org/officeDocument/2006/relationships/image" Target="media/image80.png"/><Relationship Id="rId90" Type="http://schemas.openxmlformats.org/officeDocument/2006/relationships/image" Target="media/image79.png"/><Relationship Id="rId9" Type="http://schemas.openxmlformats.org/officeDocument/2006/relationships/footer" Target="footer2.xml"/><Relationship Id="rId89" Type="http://schemas.openxmlformats.org/officeDocument/2006/relationships/image" Target="media/image78.png"/><Relationship Id="rId88" Type="http://schemas.openxmlformats.org/officeDocument/2006/relationships/image" Target="media/image77.png"/><Relationship Id="rId87" Type="http://schemas.openxmlformats.org/officeDocument/2006/relationships/image" Target="media/image76.png"/><Relationship Id="rId86" Type="http://schemas.openxmlformats.org/officeDocument/2006/relationships/image" Target="media/image75.png"/><Relationship Id="rId85" Type="http://schemas.openxmlformats.org/officeDocument/2006/relationships/image" Target="media/image74.png"/><Relationship Id="rId84" Type="http://schemas.openxmlformats.org/officeDocument/2006/relationships/image" Target="media/image73.png"/><Relationship Id="rId83" Type="http://schemas.openxmlformats.org/officeDocument/2006/relationships/image" Target="media/image72.png"/><Relationship Id="rId82" Type="http://schemas.openxmlformats.org/officeDocument/2006/relationships/image" Target="media/image71.png"/><Relationship Id="rId81" Type="http://schemas.openxmlformats.org/officeDocument/2006/relationships/image" Target="media/image70.png"/><Relationship Id="rId80" Type="http://schemas.openxmlformats.org/officeDocument/2006/relationships/image" Target="media/image69.png"/><Relationship Id="rId8" Type="http://schemas.openxmlformats.org/officeDocument/2006/relationships/header" Target="header3.xml"/><Relationship Id="rId79" Type="http://schemas.openxmlformats.org/officeDocument/2006/relationships/image" Target="media/image68.png"/><Relationship Id="rId78" Type="http://schemas.openxmlformats.org/officeDocument/2006/relationships/image" Target="media/image67.png"/><Relationship Id="rId77" Type="http://schemas.openxmlformats.org/officeDocument/2006/relationships/image" Target="media/image66.jpeg"/><Relationship Id="rId76" Type="http://schemas.openxmlformats.org/officeDocument/2006/relationships/image" Target="media/image65.png"/><Relationship Id="rId75" Type="http://schemas.openxmlformats.org/officeDocument/2006/relationships/image" Target="media/image64.png"/><Relationship Id="rId74" Type="http://schemas.openxmlformats.org/officeDocument/2006/relationships/image" Target="media/image63.png"/><Relationship Id="rId73" Type="http://schemas.openxmlformats.org/officeDocument/2006/relationships/image" Target="media/image62.png"/><Relationship Id="rId72" Type="http://schemas.openxmlformats.org/officeDocument/2006/relationships/image" Target="media/image61.png"/><Relationship Id="rId71" Type="http://schemas.openxmlformats.org/officeDocument/2006/relationships/image" Target="media/image60.png"/><Relationship Id="rId70" Type="http://schemas.openxmlformats.org/officeDocument/2006/relationships/image" Target="media/image59.png"/><Relationship Id="rId7" Type="http://schemas.openxmlformats.org/officeDocument/2006/relationships/header" Target="header2.xml"/><Relationship Id="rId69" Type="http://schemas.openxmlformats.org/officeDocument/2006/relationships/image" Target="media/image58.png"/><Relationship Id="rId68" Type="http://schemas.openxmlformats.org/officeDocument/2006/relationships/image" Target="media/image57.png"/><Relationship Id="rId67" Type="http://schemas.openxmlformats.org/officeDocument/2006/relationships/image" Target="media/image56.wmf"/><Relationship Id="rId66" Type="http://schemas.openxmlformats.org/officeDocument/2006/relationships/oleObject" Target="embeddings/oleObject1.bin"/><Relationship Id="rId65" Type="http://schemas.openxmlformats.org/officeDocument/2006/relationships/image" Target="media/image55.jpeg"/><Relationship Id="rId64" Type="http://schemas.openxmlformats.org/officeDocument/2006/relationships/image" Target="media/image54.png"/><Relationship Id="rId63" Type="http://schemas.openxmlformats.org/officeDocument/2006/relationships/image" Target="media/image53.jpeg"/><Relationship Id="rId62" Type="http://schemas.openxmlformats.org/officeDocument/2006/relationships/image" Target="media/image52.jpeg"/><Relationship Id="rId61" Type="http://schemas.openxmlformats.org/officeDocument/2006/relationships/image" Target="media/image51.jpeg"/><Relationship Id="rId60" Type="http://schemas.openxmlformats.org/officeDocument/2006/relationships/image" Target="media/image50.jpeg"/><Relationship Id="rId6" Type="http://schemas.openxmlformats.org/officeDocument/2006/relationships/footer" Target="footer1.xml"/><Relationship Id="rId59" Type="http://schemas.openxmlformats.org/officeDocument/2006/relationships/image" Target="media/image49.png"/><Relationship Id="rId58" Type="http://schemas.openxmlformats.org/officeDocument/2006/relationships/image" Target="media/image48.jpeg"/><Relationship Id="rId57" Type="http://schemas.openxmlformats.org/officeDocument/2006/relationships/image" Target="media/image47.jpeg"/><Relationship Id="rId56" Type="http://schemas.openxmlformats.org/officeDocument/2006/relationships/image" Target="media/image46.png"/><Relationship Id="rId55" Type="http://schemas.openxmlformats.org/officeDocument/2006/relationships/image" Target="media/image45.png"/><Relationship Id="rId54" Type="http://schemas.openxmlformats.org/officeDocument/2006/relationships/image" Target="media/image44.png"/><Relationship Id="rId53" Type="http://schemas.openxmlformats.org/officeDocument/2006/relationships/image" Target="media/image43.png"/><Relationship Id="rId52" Type="http://schemas.openxmlformats.org/officeDocument/2006/relationships/image" Target="media/image42.png"/><Relationship Id="rId51" Type="http://schemas.openxmlformats.org/officeDocument/2006/relationships/image" Target="media/image41.png"/><Relationship Id="rId50" Type="http://schemas.openxmlformats.org/officeDocument/2006/relationships/image" Target="media/image40.png"/><Relationship Id="rId5" Type="http://schemas.openxmlformats.org/officeDocument/2006/relationships/header" Target="header1.xml"/><Relationship Id="rId49" Type="http://schemas.openxmlformats.org/officeDocument/2006/relationships/image" Target="media/image39.png"/><Relationship Id="rId48" Type="http://schemas.openxmlformats.org/officeDocument/2006/relationships/image" Target="media/image38.png"/><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endnotes" Target="endnotes.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jpe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jpeg"/><Relationship Id="rId3" Type="http://schemas.openxmlformats.org/officeDocument/2006/relationships/footnotes" Target="footnotes.xml"/><Relationship Id="rId29" Type="http://schemas.openxmlformats.org/officeDocument/2006/relationships/image" Target="media/image19.jpeg"/><Relationship Id="rId28" Type="http://schemas.openxmlformats.org/officeDocument/2006/relationships/image" Target="media/image18.jpeg"/><Relationship Id="rId27" Type="http://schemas.openxmlformats.org/officeDocument/2006/relationships/image" Target="media/image17.jpeg"/><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pn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jpeg"/><Relationship Id="rId12" Type="http://schemas.openxmlformats.org/officeDocument/2006/relationships/image" Target="media/image2.png"/><Relationship Id="rId113" Type="http://schemas.openxmlformats.org/officeDocument/2006/relationships/fontTable" Target="fontTable.xml"/><Relationship Id="rId112" Type="http://schemas.openxmlformats.org/officeDocument/2006/relationships/customXml" Target="../customXml/item2.xml"/><Relationship Id="rId111" Type="http://schemas.openxmlformats.org/officeDocument/2006/relationships/numbering" Target="numbering.xml"/><Relationship Id="rId110" Type="http://schemas.openxmlformats.org/officeDocument/2006/relationships/customXml" Target="../customXml/item1.xml"/><Relationship Id="rId11" Type="http://schemas.openxmlformats.org/officeDocument/2006/relationships/image" Target="media/image1.png"/><Relationship Id="rId109" Type="http://schemas.openxmlformats.org/officeDocument/2006/relationships/image" Target="media/image98.png"/><Relationship Id="rId108" Type="http://schemas.openxmlformats.org/officeDocument/2006/relationships/image" Target="media/image97.png"/><Relationship Id="rId107" Type="http://schemas.openxmlformats.org/officeDocument/2006/relationships/image" Target="media/image96.png"/><Relationship Id="rId106" Type="http://schemas.openxmlformats.org/officeDocument/2006/relationships/image" Target="media/image95.png"/><Relationship Id="rId105" Type="http://schemas.openxmlformats.org/officeDocument/2006/relationships/image" Target="media/image94.png"/><Relationship Id="rId104" Type="http://schemas.openxmlformats.org/officeDocument/2006/relationships/image" Target="media/image93.png"/><Relationship Id="rId103" Type="http://schemas.openxmlformats.org/officeDocument/2006/relationships/image" Target="media/image92.png"/><Relationship Id="rId102" Type="http://schemas.openxmlformats.org/officeDocument/2006/relationships/image" Target="media/image91.png"/><Relationship Id="rId101" Type="http://schemas.openxmlformats.org/officeDocument/2006/relationships/image" Target="media/image90.png"/><Relationship Id="rId100" Type="http://schemas.openxmlformats.org/officeDocument/2006/relationships/image" Target="media/image89.png"/><Relationship Id="rId10" Type="http://schemas.openxmlformats.org/officeDocument/2006/relationships/theme" Target="theme/theme1.xml"/><Relationship Id="rId1"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2"/>
        </a:solidFill>
        <a:ln w="6350">
          <a:solidFill>
            <a:srgbClr val="FF0000"/>
          </a:solidFill>
        </a:ln>
      </a:spPr>
      <a:bodyPr rot="0" vertOverflow="overflow" horzOverflow="overflow" vert="horz" wrap="square" lIns="91440" tIns="45720" rIns="91440" bIns="45720" numCol="1" spcCol="0" rtlCol="0" fromWordArt="0" anchor="ctr" anchorCtr="0" forceAA="0" compatLnSpc="1">
        <a:noAutofit/>
      </a:bodyPr>
      <a:lstStyle/>
      <a:style>
        <a:lnRef idx="2">
          <a:schemeClr val="accent1">
            <a:shade val="50000"/>
          </a:schemeClr>
        </a:lnRef>
        <a:fillRef idx="1">
          <a:schemeClr val="accent1"/>
        </a:fillRef>
        <a:effectRef idx="0">
          <a:schemeClr val="accent1"/>
        </a:effectRef>
        <a:fontRef idx="minor">
          <a:schemeClr val="lt1"/>
        </a:fontRef>
      </a:style>
    </a:sp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442E510-13D6-47A3-A715-7199095A3A8E}">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261</Pages>
  <Words>94228</Words>
  <Characters>101170</Characters>
  <Lines>1</Lines>
  <Paragraphs>1</Paragraphs>
  <TotalTime>222</TotalTime>
  <ScaleCrop>false</ScaleCrop>
  <LinksUpToDate>false</LinksUpToDate>
  <CharactersWithSpaces>103212</CharactersWithSpaces>
  <Application>WPS Office_12.1.0.15120_F1E327BC-269C-435d-A152-05C5408002CA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2019-05-13T02:14:00Z</dcterms:created>
  <dc:creator>Administrator</dc:creator>
  <cp:lastModifiedBy>奢入俭难</cp:lastModifiedBy>
  <cp:lastPrinted>2023-07-06T03:59:00Z</cp:lastPrinted>
  <dcterms:modified xsi:type="dcterms:W3CDTF">2023-08-03T08:35:05Z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22C60C59F4DD4F90BB202A98C41A5B37_13</vt:lpwstr>
  </property>
  <property fmtid="{D5CDD505-2E9C-101B-9397-08002B2CF9AE}" pid="4" name="commondata">
    <vt:lpwstr>eyJoZGlkIjoiYjI2NDdiZjkxMzk4ZWVkNjY4MGQ4YWExYTc3YjJmNzYifQ==</vt:lpwstr>
  </property>
</Properties>
</file>